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881D" w14:textId="0D8A34F7" w:rsidR="00845DAF" w:rsidRPr="00124B9D" w:rsidRDefault="00F55FDA" w:rsidP="008B7AFA">
      <w:pPr>
        <w:pStyle w:val="Heading1"/>
      </w:pPr>
      <w:bookmarkStart w:id="0" w:name="_Toc46399123"/>
      <w:r w:rsidRPr="00124B9D">
        <w:t>Design of Culverts</w:t>
      </w:r>
      <w:bookmarkEnd w:id="0"/>
    </w:p>
    <w:p w14:paraId="20A083CF" w14:textId="58767519" w:rsidR="00F36FDC" w:rsidRPr="00124B9D" w:rsidRDefault="00F55FDA" w:rsidP="00F36FDC">
      <w:pPr>
        <w:pStyle w:val="Heading2"/>
      </w:pPr>
      <w:bookmarkStart w:id="1" w:name="_Toc46399124"/>
      <w:r w:rsidRPr="00124B9D">
        <w:t>Overview</w:t>
      </w:r>
      <w:bookmarkEnd w:id="1"/>
    </w:p>
    <w:p w14:paraId="5377362B" w14:textId="5A8BD5D5" w:rsidR="00AD6BDB" w:rsidRPr="00124B9D" w:rsidRDefault="00AD6BDB" w:rsidP="00FE412A">
      <w:pPr>
        <w:pStyle w:val="BodyText"/>
      </w:pPr>
      <w:r w:rsidRPr="00124B9D">
        <w:t>Culverts are enclosed conduit</w:t>
      </w:r>
      <w:r w:rsidR="00FE412A" w:rsidRPr="00124B9D">
        <w:t xml:space="preserve">s </w:t>
      </w:r>
      <w:r w:rsidRPr="00124B9D">
        <w:t xml:space="preserve">used to convey water through embankments such as </w:t>
      </w:r>
      <w:r w:rsidR="00511B61" w:rsidRPr="00124B9D">
        <w:t xml:space="preserve">highways, </w:t>
      </w:r>
      <w:r w:rsidRPr="00124B9D">
        <w:t>streets</w:t>
      </w:r>
      <w:r w:rsidR="00511B61" w:rsidRPr="00124B9D">
        <w:t>,</w:t>
      </w:r>
      <w:r w:rsidRPr="00124B9D">
        <w:t xml:space="preserve"> and driveways. </w:t>
      </w:r>
      <w:r w:rsidR="00FE412A" w:rsidRPr="00124B9D">
        <w:t xml:space="preserve">In addition to their hydraulic function, culverts must also support </w:t>
      </w:r>
      <w:r w:rsidR="00511B61" w:rsidRPr="00124B9D">
        <w:t>earth loads, traffic, and construction</w:t>
      </w:r>
      <w:r w:rsidR="00FE412A" w:rsidRPr="00124B9D">
        <w:t xml:space="preserve"> equipment.</w:t>
      </w:r>
      <w:r w:rsidR="00434A8E" w:rsidRPr="00124B9D">
        <w:t xml:space="preserve"> </w:t>
      </w:r>
      <w:r w:rsidR="00FE412A" w:rsidRPr="00124B9D">
        <w:t xml:space="preserve">Therefore, culvert design involves both hydraulic and structural design. </w:t>
      </w:r>
      <w:r w:rsidRPr="00124B9D">
        <w:t>They must be designed to protect the traveling public and adjacent property from flood hazards in a reasonable and prudent manner.</w:t>
      </w:r>
    </w:p>
    <w:p w14:paraId="370ADDBD" w14:textId="5D530D43" w:rsidR="00FE412A" w:rsidRPr="00124B9D" w:rsidRDefault="00FE412A" w:rsidP="000F2654">
      <w:pPr>
        <w:pStyle w:val="BodyText"/>
      </w:pPr>
      <w:r w:rsidRPr="00124B9D">
        <w:t xml:space="preserve">Primary considerations for the final selection of any drainage structure are that its design be based on appropriate hydraulic principles, economy, and </w:t>
      </w:r>
      <w:r w:rsidR="00A03DEF" w:rsidRPr="00124B9D">
        <w:t xml:space="preserve">that it has allowable design storm </w:t>
      </w:r>
      <w:r w:rsidRPr="00124B9D">
        <w:t xml:space="preserve">headwater depth and outlet velocity. </w:t>
      </w:r>
      <w:r w:rsidR="00A03DEF" w:rsidRPr="00124B9D">
        <w:t xml:space="preserve">The allowable headwater elevation is that elevation above which unacceptable impacts may be caused to adjacent property and/or the roadway. It is this allowable headwater depth that is the primary basis for sizing a culvert. </w:t>
      </w:r>
      <w:r w:rsidRPr="00124B9D">
        <w:t xml:space="preserve">In addition to sound hydraulic design, sound structural design, site design and construction practices are necessary for a culvert to function properly. </w:t>
      </w:r>
    </w:p>
    <w:p w14:paraId="0297F21D" w14:textId="4F900930" w:rsidR="0071748B" w:rsidRPr="00124B9D" w:rsidRDefault="0071748B" w:rsidP="0071748B">
      <w:pPr>
        <w:pStyle w:val="BodyText"/>
      </w:pPr>
      <w:r w:rsidRPr="00124B9D">
        <w:t xml:space="preserve">Any structure </w:t>
      </w:r>
      <w:r w:rsidR="00434A8E" w:rsidRPr="00124B9D">
        <w:t>that</w:t>
      </w:r>
      <w:r w:rsidRPr="00124B9D">
        <w:t xml:space="preserve"> measures less than 20 feet from the inside face of the exterior wall to the inside face of the exterior wall (including interior walls) along the centerline of the roadway is classified as a culvert</w:t>
      </w:r>
      <w:r w:rsidR="00434A8E" w:rsidRPr="00124B9D">
        <w:t>. A</w:t>
      </w:r>
      <w:r w:rsidRPr="00124B9D">
        <w:t xml:space="preserve">ny structure </w:t>
      </w:r>
      <w:r w:rsidR="00434A8E" w:rsidRPr="00124B9D">
        <w:t>that</w:t>
      </w:r>
      <w:r w:rsidRPr="00124B9D">
        <w:t xml:space="preserve"> measures 20 feet or greater for the same dimensions is classified as a bridge or major structure.</w:t>
      </w:r>
    </w:p>
    <w:p w14:paraId="0D17D3BB" w14:textId="425655C6" w:rsidR="0060288F" w:rsidRPr="00124B9D" w:rsidRDefault="00F55FDA" w:rsidP="0071748B">
      <w:pPr>
        <w:pStyle w:val="Heading2"/>
      </w:pPr>
      <w:bookmarkStart w:id="2" w:name="_Toc46399125"/>
      <w:r w:rsidRPr="00124B9D">
        <w:t>Engineering Design Criteria</w:t>
      </w:r>
      <w:bookmarkEnd w:id="2"/>
    </w:p>
    <w:p w14:paraId="39F8E6CD" w14:textId="77777777" w:rsidR="00964468" w:rsidRPr="00124B9D" w:rsidRDefault="0002586E" w:rsidP="0002586E">
      <w:pPr>
        <w:pStyle w:val="BodyText"/>
      </w:pPr>
      <w:r w:rsidRPr="00124B9D">
        <w:t xml:space="preserve">The </w:t>
      </w:r>
      <w:r w:rsidR="00B4234C" w:rsidRPr="00124B9D">
        <w:t>engineering design criteria</w:t>
      </w:r>
      <w:r w:rsidRPr="00124B9D">
        <w:t xml:space="preserve"> described in this chapter are based on the most recent edition of Hydraulic Design Series 5: Hydraulic Design of Highway Culverts (HDS 5). </w:t>
      </w:r>
      <w:r w:rsidR="00964468" w:rsidRPr="00124B9D">
        <w:t xml:space="preserve">See HDS 5 for additional design procedures not found in this manual. </w:t>
      </w:r>
    </w:p>
    <w:p w14:paraId="0947AC6C" w14:textId="337F6956" w:rsidR="00964468" w:rsidRPr="00124B9D" w:rsidRDefault="0002586E" w:rsidP="0002586E">
      <w:pPr>
        <w:pStyle w:val="BodyText"/>
      </w:pPr>
      <w:r w:rsidRPr="00124B9D">
        <w:t>Hydraulic analysis of culverts includes the computation of</w:t>
      </w:r>
      <w:r w:rsidR="00964468" w:rsidRPr="00124B9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B7AFA" w:rsidRPr="00124B9D" w14:paraId="6FE55EBC" w14:textId="77777777" w:rsidTr="008B7AFA">
        <w:trPr>
          <w:jc w:val="center"/>
        </w:trPr>
        <w:tc>
          <w:tcPr>
            <w:tcW w:w="4675" w:type="dxa"/>
          </w:tcPr>
          <w:p w14:paraId="736BB9DA" w14:textId="38A1F5C6" w:rsidR="008B7AFA" w:rsidRPr="00124B9D" w:rsidRDefault="008B7AFA" w:rsidP="000B057B">
            <w:pPr>
              <w:pStyle w:val="ReportBullet1"/>
            </w:pPr>
            <w:r w:rsidRPr="00124B9D">
              <w:t>Drainage area</w:t>
            </w:r>
          </w:p>
        </w:tc>
        <w:tc>
          <w:tcPr>
            <w:tcW w:w="4675" w:type="dxa"/>
          </w:tcPr>
          <w:p w14:paraId="06C5DE14" w14:textId="06D92019" w:rsidR="008B7AFA" w:rsidRPr="00124B9D" w:rsidRDefault="008B7AFA" w:rsidP="000B057B">
            <w:pPr>
              <w:pStyle w:val="ReportBullet1"/>
            </w:pPr>
            <w:r w:rsidRPr="00124B9D">
              <w:t>Design flow</w:t>
            </w:r>
          </w:p>
        </w:tc>
      </w:tr>
      <w:tr w:rsidR="008B7AFA" w:rsidRPr="00124B9D" w14:paraId="47753746" w14:textId="77777777" w:rsidTr="008B7AFA">
        <w:trPr>
          <w:jc w:val="center"/>
        </w:trPr>
        <w:tc>
          <w:tcPr>
            <w:tcW w:w="4675" w:type="dxa"/>
          </w:tcPr>
          <w:p w14:paraId="4D703859" w14:textId="1B261F1B" w:rsidR="008B7AFA" w:rsidRPr="00124B9D" w:rsidRDefault="008B7AFA" w:rsidP="000B057B">
            <w:pPr>
              <w:pStyle w:val="ReportBullet1"/>
            </w:pPr>
            <w:r w:rsidRPr="00124B9D">
              <w:t>Allowable headwater</w:t>
            </w:r>
          </w:p>
        </w:tc>
        <w:tc>
          <w:tcPr>
            <w:tcW w:w="4675" w:type="dxa"/>
          </w:tcPr>
          <w:p w14:paraId="652E9774" w14:textId="0BCA5BDD" w:rsidR="008B7AFA" w:rsidRPr="00124B9D" w:rsidRDefault="008B7AFA" w:rsidP="000B057B">
            <w:pPr>
              <w:pStyle w:val="ReportBullet1"/>
            </w:pPr>
            <w:r w:rsidRPr="00124B9D">
              <w:t>Headwater at design flow</w:t>
            </w:r>
          </w:p>
        </w:tc>
      </w:tr>
      <w:tr w:rsidR="008B7AFA" w:rsidRPr="00124B9D" w14:paraId="77C6CDE4" w14:textId="77777777" w:rsidTr="008B7AFA">
        <w:trPr>
          <w:jc w:val="center"/>
        </w:trPr>
        <w:tc>
          <w:tcPr>
            <w:tcW w:w="4675" w:type="dxa"/>
          </w:tcPr>
          <w:p w14:paraId="76D6551D" w14:textId="06101CE6" w:rsidR="008B7AFA" w:rsidRPr="00124B9D" w:rsidRDefault="008B7AFA" w:rsidP="000B057B">
            <w:pPr>
              <w:pStyle w:val="ReportBullet1LAST"/>
            </w:pPr>
            <w:r w:rsidRPr="00124B9D">
              <w:t>Outlet velocity</w:t>
            </w:r>
          </w:p>
        </w:tc>
        <w:tc>
          <w:tcPr>
            <w:tcW w:w="4675" w:type="dxa"/>
          </w:tcPr>
          <w:p w14:paraId="178C2DD4" w14:textId="77777777" w:rsidR="008B7AFA" w:rsidRPr="00124B9D" w:rsidRDefault="008B7AFA" w:rsidP="008B7AFA">
            <w:pPr>
              <w:pStyle w:val="ReportBullet1LAST"/>
              <w:numPr>
                <w:ilvl w:val="0"/>
                <w:numId w:val="0"/>
              </w:numPr>
              <w:ind w:left="360"/>
            </w:pPr>
          </w:p>
        </w:tc>
      </w:tr>
    </w:tbl>
    <w:p w14:paraId="6FF67014" w14:textId="7C91C2E0" w:rsidR="0002586E" w:rsidRPr="00124B9D" w:rsidRDefault="0002586E" w:rsidP="008B7AFA">
      <w:pPr>
        <w:pStyle w:val="BodyText"/>
        <w:spacing w:before="120"/>
      </w:pPr>
      <w:r w:rsidRPr="00124B9D">
        <w:t>Culvert design also involves the consideration of the following factors: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B7AFA" w:rsidRPr="00124B9D" w14:paraId="66413DD1" w14:textId="77777777" w:rsidTr="008B7AFA">
        <w:trPr>
          <w:jc w:val="center"/>
        </w:trPr>
        <w:tc>
          <w:tcPr>
            <w:tcW w:w="4675" w:type="dxa"/>
          </w:tcPr>
          <w:p w14:paraId="6FA0906C" w14:textId="3B6F18EC" w:rsidR="008B7AFA" w:rsidRPr="00124B9D" w:rsidRDefault="008B7AFA" w:rsidP="000B057B">
            <w:pPr>
              <w:pStyle w:val="ReportBullet1"/>
            </w:pPr>
            <w:r w:rsidRPr="00124B9D">
              <w:t>Inlet and outlet control</w:t>
            </w:r>
          </w:p>
        </w:tc>
        <w:tc>
          <w:tcPr>
            <w:tcW w:w="4675" w:type="dxa"/>
          </w:tcPr>
          <w:p w14:paraId="7DD16CA0" w14:textId="45FCD27F" w:rsidR="008B7AFA" w:rsidRPr="00124B9D" w:rsidRDefault="008B7AFA" w:rsidP="000B057B">
            <w:pPr>
              <w:pStyle w:val="ReportBullet1"/>
            </w:pPr>
            <w:r w:rsidRPr="00124B9D">
              <w:t>Culvert shape and cross section</w:t>
            </w:r>
          </w:p>
        </w:tc>
      </w:tr>
      <w:tr w:rsidR="008B7AFA" w:rsidRPr="00124B9D" w14:paraId="3736A98F" w14:textId="77777777" w:rsidTr="008B7AFA">
        <w:trPr>
          <w:jc w:val="center"/>
        </w:trPr>
        <w:tc>
          <w:tcPr>
            <w:tcW w:w="4675" w:type="dxa"/>
          </w:tcPr>
          <w:p w14:paraId="6FED7954" w14:textId="55CD062C" w:rsidR="008B7AFA" w:rsidRPr="00124B9D" w:rsidRDefault="008B7AFA" w:rsidP="000B057B">
            <w:pPr>
              <w:pStyle w:val="ReportBullet1"/>
            </w:pPr>
            <w:r w:rsidRPr="00124B9D">
              <w:t>Culvert length and extensions</w:t>
            </w:r>
          </w:p>
        </w:tc>
        <w:tc>
          <w:tcPr>
            <w:tcW w:w="4675" w:type="dxa"/>
          </w:tcPr>
          <w:p w14:paraId="045475C5" w14:textId="77900052" w:rsidR="008B7AFA" w:rsidRPr="00124B9D" w:rsidRDefault="008B7AFA" w:rsidP="000B057B">
            <w:pPr>
              <w:pStyle w:val="ReportBullet1"/>
            </w:pPr>
            <w:r w:rsidRPr="00124B9D">
              <w:t>End treatments</w:t>
            </w:r>
          </w:p>
        </w:tc>
      </w:tr>
      <w:tr w:rsidR="008B7AFA" w:rsidRPr="00124B9D" w14:paraId="31138935" w14:textId="77777777" w:rsidTr="008B7AFA">
        <w:trPr>
          <w:jc w:val="center"/>
        </w:trPr>
        <w:tc>
          <w:tcPr>
            <w:tcW w:w="4675" w:type="dxa"/>
          </w:tcPr>
          <w:p w14:paraId="4713A61F" w14:textId="0D35C79E" w:rsidR="008B7AFA" w:rsidRPr="00124B9D" w:rsidRDefault="008B7AFA" w:rsidP="000B057B">
            <w:pPr>
              <w:pStyle w:val="ReportBullet1"/>
            </w:pPr>
            <w:r w:rsidRPr="00124B9D">
              <w:t>Multiple installations</w:t>
            </w:r>
          </w:p>
        </w:tc>
        <w:tc>
          <w:tcPr>
            <w:tcW w:w="4675" w:type="dxa"/>
          </w:tcPr>
          <w:p w14:paraId="57D8BE90" w14:textId="620F40A0" w:rsidR="008B7AFA" w:rsidRPr="00124B9D" w:rsidRDefault="008B7AFA" w:rsidP="000B057B">
            <w:pPr>
              <w:pStyle w:val="ReportBullet1"/>
            </w:pPr>
            <w:r w:rsidRPr="00124B9D">
              <w:t>Inlet improvement</w:t>
            </w:r>
          </w:p>
        </w:tc>
      </w:tr>
      <w:tr w:rsidR="008B7AFA" w:rsidRPr="00124B9D" w14:paraId="2D360157" w14:textId="77777777" w:rsidTr="008B7AFA">
        <w:trPr>
          <w:jc w:val="center"/>
        </w:trPr>
        <w:tc>
          <w:tcPr>
            <w:tcW w:w="4675" w:type="dxa"/>
          </w:tcPr>
          <w:p w14:paraId="55838980" w14:textId="67F21741" w:rsidR="008B7AFA" w:rsidRPr="00124B9D" w:rsidRDefault="008B7AFA" w:rsidP="000B057B">
            <w:pPr>
              <w:pStyle w:val="ReportBullet1"/>
            </w:pPr>
            <w:r w:rsidRPr="00124B9D">
              <w:t>Outlet velocity</w:t>
            </w:r>
          </w:p>
        </w:tc>
        <w:tc>
          <w:tcPr>
            <w:tcW w:w="4675" w:type="dxa"/>
          </w:tcPr>
          <w:p w14:paraId="323EC5C6" w14:textId="71A47F4D" w:rsidR="008B7AFA" w:rsidRPr="00124B9D" w:rsidRDefault="008B7AFA" w:rsidP="000B057B">
            <w:pPr>
              <w:pStyle w:val="ReportBullet1"/>
            </w:pPr>
            <w:r w:rsidRPr="00124B9D">
              <w:t>Culvert size</w:t>
            </w:r>
          </w:p>
        </w:tc>
      </w:tr>
      <w:tr w:rsidR="008B7AFA" w:rsidRPr="00124B9D" w14:paraId="4B22FB75" w14:textId="77777777" w:rsidTr="008B7AFA">
        <w:trPr>
          <w:jc w:val="center"/>
        </w:trPr>
        <w:tc>
          <w:tcPr>
            <w:tcW w:w="4675" w:type="dxa"/>
          </w:tcPr>
          <w:p w14:paraId="0BDE3A3B" w14:textId="514735B9" w:rsidR="008B7AFA" w:rsidRPr="00124B9D" w:rsidRDefault="008B7AFA" w:rsidP="000B057B">
            <w:pPr>
              <w:pStyle w:val="ReportBullet1"/>
            </w:pPr>
            <w:r w:rsidRPr="00124B9D">
              <w:t>Slope and alignment</w:t>
            </w:r>
          </w:p>
        </w:tc>
        <w:tc>
          <w:tcPr>
            <w:tcW w:w="4675" w:type="dxa"/>
          </w:tcPr>
          <w:p w14:paraId="676C91D1" w14:textId="77777777" w:rsidR="008B7AFA" w:rsidRPr="00124B9D" w:rsidRDefault="008B7AFA" w:rsidP="000B057B">
            <w:pPr>
              <w:pStyle w:val="ReportBullet1"/>
            </w:pPr>
            <w:r w:rsidRPr="00124B9D">
              <w:t>Camber</w:t>
            </w:r>
          </w:p>
        </w:tc>
      </w:tr>
      <w:tr w:rsidR="008B7AFA" w:rsidRPr="00124B9D" w14:paraId="57C5A54F" w14:textId="77777777" w:rsidTr="008B7AFA">
        <w:trPr>
          <w:jc w:val="center"/>
        </w:trPr>
        <w:tc>
          <w:tcPr>
            <w:tcW w:w="4675" w:type="dxa"/>
          </w:tcPr>
          <w:p w14:paraId="18158D00" w14:textId="65809F77" w:rsidR="008B7AFA" w:rsidRPr="00124B9D" w:rsidRDefault="008B7AFA" w:rsidP="008B7AFA">
            <w:pPr>
              <w:pStyle w:val="ReportBullet1LAST"/>
            </w:pPr>
            <w:r w:rsidRPr="00124B9D">
              <w:t>Bedding and fill requirements</w:t>
            </w:r>
          </w:p>
        </w:tc>
        <w:tc>
          <w:tcPr>
            <w:tcW w:w="4675" w:type="dxa"/>
          </w:tcPr>
          <w:p w14:paraId="0DCEF625" w14:textId="77777777" w:rsidR="008B7AFA" w:rsidRPr="00124B9D" w:rsidRDefault="008B7AFA" w:rsidP="008B7AFA">
            <w:pPr>
              <w:pStyle w:val="ReportBullet1"/>
              <w:numPr>
                <w:ilvl w:val="0"/>
                <w:numId w:val="0"/>
              </w:numPr>
              <w:ind w:left="720"/>
            </w:pPr>
          </w:p>
        </w:tc>
      </w:tr>
    </w:tbl>
    <w:p w14:paraId="24238E22" w14:textId="7F427FC7" w:rsidR="002C4862" w:rsidRPr="00124B9D" w:rsidRDefault="002C4862" w:rsidP="008E041F">
      <w:pPr>
        <w:pStyle w:val="Heading3"/>
        <w:keepNext w:val="0"/>
        <w:keepLines w:val="0"/>
      </w:pPr>
      <w:bookmarkStart w:id="3" w:name="_Toc46399126"/>
      <w:r w:rsidRPr="00124B9D">
        <w:t>Return Period</w:t>
      </w:r>
      <w:bookmarkEnd w:id="3"/>
    </w:p>
    <w:p w14:paraId="0310705E" w14:textId="5479F2CA" w:rsidR="002C4862" w:rsidRPr="00124B9D" w:rsidRDefault="002C4862" w:rsidP="008E041F">
      <w:r w:rsidRPr="00124B9D">
        <w:t>Since it is generally not economically feasible to design culverts for the maximum runoff</w:t>
      </w:r>
      <w:r w:rsidR="00434A8E" w:rsidRPr="00124B9D">
        <w:t xml:space="preserve"> that</w:t>
      </w:r>
      <w:r w:rsidRPr="00124B9D">
        <w:t xml:space="preserve"> a watershed is capable of producing, design storm frequency criteria must be established. The design storm frequency criteria for culverts is 50 years for the major system and 10 years for the minor system. The minor system consists of culverts and open channels that run parallel to the roadway and are used to drain the roadway in lieu of a storm sewer system.</w:t>
      </w:r>
    </w:p>
    <w:p w14:paraId="28B37A9A" w14:textId="77777777" w:rsidR="002C4862" w:rsidRPr="00124B9D" w:rsidRDefault="002C4862" w:rsidP="002C4862">
      <w:pPr>
        <w:pStyle w:val="Heading3"/>
      </w:pPr>
      <w:bookmarkStart w:id="4" w:name="_Toc46399127"/>
      <w:r w:rsidRPr="00124B9D">
        <w:lastRenderedPageBreak/>
        <w:t>Headwater Elevation</w:t>
      </w:r>
      <w:bookmarkEnd w:id="4"/>
    </w:p>
    <w:p w14:paraId="08731F1F" w14:textId="7BED5390" w:rsidR="002C4862" w:rsidRPr="00124B9D" w:rsidRDefault="002C4862" w:rsidP="002C4862">
      <w:pPr>
        <w:pStyle w:val="BodyText"/>
      </w:pPr>
      <w:r w:rsidRPr="00124B9D">
        <w:t xml:space="preserve">Any culvert </w:t>
      </w:r>
      <w:r w:rsidR="00434A8E" w:rsidRPr="00124B9D">
        <w:t>that</w:t>
      </w:r>
      <w:r w:rsidRPr="00124B9D">
        <w:t xml:space="preserve"> constricts the natural stream flow will cause a rise in the upstream water depth to some extent. The depth of water in the stream measured from the culvert inlet invert (flowline) is termed headwater.</w:t>
      </w:r>
    </w:p>
    <w:p w14:paraId="437DA315" w14:textId="77777777" w:rsidR="002C4862" w:rsidRPr="00124B9D" w:rsidRDefault="002C4862" w:rsidP="002C4862">
      <w:pPr>
        <w:pStyle w:val="BodyText"/>
      </w:pPr>
      <w:r w:rsidRPr="00124B9D">
        <w:t>The maximum allowable headwater elevation for culverts will be the lowest of the following:</w:t>
      </w:r>
    </w:p>
    <w:p w14:paraId="45E626A8" w14:textId="5F0952BC" w:rsidR="002C4862" w:rsidRPr="00124B9D" w:rsidRDefault="00EB113C" w:rsidP="002C4862">
      <w:pPr>
        <w:pStyle w:val="ReportBullet1"/>
      </w:pPr>
      <w:r w:rsidRPr="00124B9D">
        <w:t>One</w:t>
      </w:r>
      <w:r w:rsidR="002C4862" w:rsidRPr="00124B9D">
        <w:t xml:space="preserve"> f</w:t>
      </w:r>
      <w:r w:rsidRPr="00124B9D">
        <w:t>oo</w:t>
      </w:r>
      <w:r w:rsidR="002C4862" w:rsidRPr="00124B9D">
        <w:t>t below the top of all roadway curbs or edges of roadway pavement.</w:t>
      </w:r>
    </w:p>
    <w:p w14:paraId="2965E68E" w14:textId="77777777" w:rsidR="002C4862" w:rsidRPr="00124B9D" w:rsidRDefault="002C4862" w:rsidP="002C4862">
      <w:pPr>
        <w:pStyle w:val="ReportBullet1"/>
      </w:pPr>
      <w:r w:rsidRPr="00124B9D">
        <w:t>One foot above the top of the culvert.</w:t>
      </w:r>
    </w:p>
    <w:p w14:paraId="454AA22A" w14:textId="77777777" w:rsidR="002C4862" w:rsidRPr="00124B9D" w:rsidRDefault="002C4862" w:rsidP="002C4862">
      <w:pPr>
        <w:pStyle w:val="ReportBullet1"/>
      </w:pPr>
      <w:r w:rsidRPr="00124B9D">
        <w:t>Elevations that could damage adjacent property.</w:t>
      </w:r>
    </w:p>
    <w:p w14:paraId="5B3BF129" w14:textId="46F69D36" w:rsidR="002C4862" w:rsidRPr="00124B9D" w:rsidRDefault="002C4862" w:rsidP="002C4862">
      <w:pPr>
        <w:pStyle w:val="ReportBullet1"/>
      </w:pPr>
      <w:r w:rsidRPr="00124B9D">
        <w:t>Elevations established to delineate floodplain zoning</w:t>
      </w:r>
      <w:r w:rsidR="00EB113C" w:rsidRPr="00124B9D">
        <w:t xml:space="preserve"> at the culvert</w:t>
      </w:r>
      <w:r w:rsidRPr="00124B9D">
        <w:t>.</w:t>
      </w:r>
    </w:p>
    <w:p w14:paraId="259F8BCF" w14:textId="77777777" w:rsidR="002C4862" w:rsidRPr="00124B9D" w:rsidRDefault="002C4862" w:rsidP="00D11DF0">
      <w:pPr>
        <w:pStyle w:val="ReportBullet1LAST"/>
      </w:pPr>
      <w:r w:rsidRPr="00124B9D">
        <w:t>Ditch elevation of the terrain that would permit flow to divert around the culvert.</w:t>
      </w:r>
    </w:p>
    <w:p w14:paraId="74C35CD6" w14:textId="5AABAC27" w:rsidR="002C4862" w:rsidRPr="00124B9D" w:rsidRDefault="002C4862" w:rsidP="00D11DF0">
      <w:pPr>
        <w:pStyle w:val="BodyText"/>
      </w:pPr>
      <w:r w:rsidRPr="00124B9D">
        <w:t>The headwater shall also be checked for the 100-year design storm to ensure compliance with street cross flow criteria established for the major storm in Chapter 3 of this manual, to ensure compliance with floodplain management regulations</w:t>
      </w:r>
      <w:r w:rsidR="00434A8E" w:rsidRPr="00124B9D">
        <w:t>,</w:t>
      </w:r>
      <w:r w:rsidRPr="00124B9D">
        <w:t xml:space="preserve"> and to avoid increasing the water surface elevation on an adjacent property.</w:t>
      </w:r>
    </w:p>
    <w:p w14:paraId="05CD7961" w14:textId="77777777" w:rsidR="002C4862" w:rsidRPr="00124B9D" w:rsidRDefault="002C4862" w:rsidP="002C4862">
      <w:pPr>
        <w:pStyle w:val="Heading3"/>
      </w:pPr>
      <w:bookmarkStart w:id="5" w:name="_Toc46399128"/>
      <w:r w:rsidRPr="00124B9D">
        <w:t>Tailwater Elevation</w:t>
      </w:r>
      <w:bookmarkEnd w:id="5"/>
    </w:p>
    <w:p w14:paraId="36B626A0" w14:textId="77777777" w:rsidR="002C4862" w:rsidRPr="00124B9D" w:rsidRDefault="002C4862" w:rsidP="002C4862">
      <w:pPr>
        <w:pStyle w:val="BodyText"/>
      </w:pPr>
      <w:r w:rsidRPr="00124B9D">
        <w:t xml:space="preserve">Tailwater is the flow depth in the downstream channel measured from the invert at the culvert outlet. It can be an important factor in culvert hydraulic design because a submerged outlet may cause the culvert to flow full rather than partially full. </w:t>
      </w:r>
    </w:p>
    <w:p w14:paraId="4BC4F189" w14:textId="6536C71C" w:rsidR="001F28B3" w:rsidRPr="00124B9D" w:rsidRDefault="002C4862" w:rsidP="00434A8E">
      <w:pPr>
        <w:pStyle w:val="BodyText"/>
      </w:pPr>
      <w:r w:rsidRPr="00124B9D">
        <w:t>A field inspection of the downstream channel should be made to determine whether there are obstructions that will influence the flow depth. Tailwater depth may be controlled by the stage in another stream, headwater from structures downstream of the culvert, reservoir water surface elevations, or other downstream features.</w:t>
      </w:r>
    </w:p>
    <w:p w14:paraId="05256EA4" w14:textId="0346DA99" w:rsidR="0002586E" w:rsidRPr="00124B9D" w:rsidRDefault="00CC450B" w:rsidP="00CC450B">
      <w:pPr>
        <w:pStyle w:val="Heading3"/>
      </w:pPr>
      <w:bookmarkStart w:id="6" w:name="_Toc46399129"/>
      <w:r w:rsidRPr="00124B9D">
        <w:t>Inlet and Outlet Control</w:t>
      </w:r>
      <w:bookmarkEnd w:id="6"/>
    </w:p>
    <w:p w14:paraId="0A40902E" w14:textId="3E1D3BDC" w:rsidR="00CC450B" w:rsidRPr="00124B9D" w:rsidRDefault="00964468" w:rsidP="00CC450B">
      <w:pPr>
        <w:pStyle w:val="BodyText"/>
      </w:pPr>
      <w:r w:rsidRPr="00124B9D">
        <w:t>Based on l</w:t>
      </w:r>
      <w:r w:rsidR="00CC450B" w:rsidRPr="00124B9D">
        <w:t xml:space="preserve">aboratory tests and field observations </w:t>
      </w:r>
      <w:r w:rsidRPr="00124B9D">
        <w:t xml:space="preserve">there are </w:t>
      </w:r>
      <w:r w:rsidR="00CC450B" w:rsidRPr="00124B9D">
        <w:t>two major types of culvert flow:</w:t>
      </w:r>
    </w:p>
    <w:p w14:paraId="0A6A69D0" w14:textId="0946AB4E" w:rsidR="00CC450B" w:rsidRPr="00124B9D" w:rsidRDefault="00CC450B" w:rsidP="00CC450B">
      <w:pPr>
        <w:pStyle w:val="ReportBullet1"/>
      </w:pPr>
      <w:r w:rsidRPr="00124B9D">
        <w:t xml:space="preserve">Flow with </w:t>
      </w:r>
      <w:r w:rsidR="00434A8E" w:rsidRPr="00124B9D">
        <w:t>inlet control</w:t>
      </w:r>
    </w:p>
    <w:p w14:paraId="1EB54FA4" w14:textId="21861EF9" w:rsidR="00CC450B" w:rsidRPr="00124B9D" w:rsidRDefault="00CC450B" w:rsidP="00D11DF0">
      <w:pPr>
        <w:pStyle w:val="ReportBullet1LAST"/>
      </w:pPr>
      <w:r w:rsidRPr="00124B9D">
        <w:t xml:space="preserve">Flow with </w:t>
      </w:r>
      <w:r w:rsidR="00434A8E" w:rsidRPr="00124B9D">
        <w:t>outlet control</w:t>
      </w:r>
    </w:p>
    <w:p w14:paraId="267471D9" w14:textId="315EFF10" w:rsidR="00CC450B" w:rsidRPr="00124B9D" w:rsidRDefault="00CC450B" w:rsidP="00CC450B">
      <w:pPr>
        <w:pStyle w:val="BodyText"/>
      </w:pPr>
      <w:r w:rsidRPr="00124B9D">
        <w:t>For each type of control, different factors and formulas are used to compute the hydraulic capacity of a culvert. Hydraulic analysis of a culvert design includes determining the headwater elevation at the design discharge. This is done by comparing the inlet control headwater elevation against the outlet control headwater elevation and selecting the higher value. For additional information</w:t>
      </w:r>
      <w:r w:rsidR="00434A8E" w:rsidRPr="00124B9D">
        <w:t>,</w:t>
      </w:r>
      <w:r w:rsidRPr="00124B9D">
        <w:t xml:space="preserve"> see HDS 5</w:t>
      </w:r>
      <w:r w:rsidR="00507323" w:rsidRPr="00124B9D">
        <w:t>.</w:t>
      </w:r>
    </w:p>
    <w:p w14:paraId="1E201891" w14:textId="796428A9" w:rsidR="00CC450B" w:rsidRPr="00124B9D" w:rsidRDefault="00CC450B" w:rsidP="00CC450B">
      <w:pPr>
        <w:pStyle w:val="Heading4"/>
      </w:pPr>
      <w:r w:rsidRPr="00124B9D">
        <w:t>Inlet Control</w:t>
      </w:r>
    </w:p>
    <w:p w14:paraId="5B759C1F" w14:textId="12E6EABE" w:rsidR="00CC450B" w:rsidRPr="00124B9D" w:rsidRDefault="00E333EB" w:rsidP="00E333EB">
      <w:pPr>
        <w:pStyle w:val="BodyText"/>
      </w:pPr>
      <w:r w:rsidRPr="00124B9D">
        <w:t xml:space="preserve">In inlet control, the discharge capacity of a culvert is controlled by the conditions at the culvert entrance. </w:t>
      </w:r>
      <w:r w:rsidR="003072B9" w:rsidRPr="00124B9D">
        <w:t xml:space="preserve">Inlet control generally occurs when the culvert opening is not capable of accepting as much flow as the culvert barrel is able to convey. </w:t>
      </w:r>
      <w:r w:rsidRPr="00124B9D">
        <w:t>Flow passes through critical depth shortly after entering the culvert, becoming high-velocity</w:t>
      </w:r>
      <w:r w:rsidR="00013DE8" w:rsidRPr="00124B9D">
        <w:t>,</w:t>
      </w:r>
      <w:r w:rsidRPr="00124B9D">
        <w:t xml:space="preserve"> shallow (supercritical) flow in the culvert. Under inlet control, the cross-sectional area of the culvert </w:t>
      </w:r>
      <w:r w:rsidR="003072B9" w:rsidRPr="00124B9D">
        <w:t>opening</w:t>
      </w:r>
      <w:r w:rsidRPr="00124B9D">
        <w:t xml:space="preserve">, the inlet </w:t>
      </w:r>
      <w:r w:rsidR="003072B9" w:rsidRPr="00124B9D">
        <w:t>shape</w:t>
      </w:r>
      <w:r w:rsidRPr="00124B9D">
        <w:t>, entrance configuration (projecting, headwalls, wingwalls) and depth of the headwater at the entrance are of primary importance.</w:t>
      </w:r>
      <w:r w:rsidR="009F5F29" w:rsidRPr="00124B9D">
        <w:t xml:space="preserve"> Hydraulic characteristics downstream of the inlet control section do not affect the culvert capacity.</w:t>
      </w:r>
      <w:r w:rsidRPr="00124B9D">
        <w:t xml:space="preserve"> The efficiency of the culvert inlet can be enhanced by beveling or tapering the opening</w:t>
      </w:r>
      <w:r w:rsidR="000B057B" w:rsidRPr="00124B9D">
        <w:t xml:space="preserve"> (</w:t>
      </w:r>
      <w:r w:rsidR="007A5F2B" w:rsidRPr="00124B9D">
        <w:t>s</w:t>
      </w:r>
      <w:r w:rsidRPr="00124B9D">
        <w:t xml:space="preserve">ee Section </w:t>
      </w:r>
      <w:r w:rsidR="000B057B" w:rsidRPr="00124B9D">
        <w:fldChar w:fldCharType="begin"/>
      </w:r>
      <w:r w:rsidR="000B057B" w:rsidRPr="00124B9D">
        <w:instrText xml:space="preserve"> REF _Ref46391500 \r \h </w:instrText>
      </w:r>
      <w:r w:rsidR="000B057B" w:rsidRPr="00124B9D">
        <w:fldChar w:fldCharType="separate"/>
      </w:r>
      <w:r w:rsidR="000B057B" w:rsidRPr="00124B9D">
        <w:t>5.2.11</w:t>
      </w:r>
      <w:r w:rsidR="000B057B" w:rsidRPr="00124B9D">
        <w:fldChar w:fldCharType="end"/>
      </w:r>
      <w:r w:rsidR="000B057B" w:rsidRPr="00124B9D">
        <w:t xml:space="preserve">, </w:t>
      </w:r>
      <w:r w:rsidR="00970A09" w:rsidRPr="00124B9D">
        <w:t xml:space="preserve">Culvert Inlet Configurations </w:t>
      </w:r>
      <w:r w:rsidRPr="00124B9D">
        <w:t>and</w:t>
      </w:r>
      <w:r w:rsidR="007A5F2B" w:rsidRPr="00124B9D">
        <w:t xml:space="preserve"> HDS 5</w:t>
      </w:r>
      <w:r w:rsidR="000B057B" w:rsidRPr="00124B9D">
        <w:t>)</w:t>
      </w:r>
      <w:r w:rsidR="007A5F2B" w:rsidRPr="00124B9D">
        <w:t>.</w:t>
      </w:r>
    </w:p>
    <w:p w14:paraId="006F9D58" w14:textId="45325C89" w:rsidR="007A5F2B" w:rsidRPr="00124B9D" w:rsidRDefault="007A5F2B" w:rsidP="007A5F2B">
      <w:pPr>
        <w:pStyle w:val="FigureCaptionTitle"/>
      </w:pPr>
      <w:bookmarkStart w:id="7" w:name="_Toc46399348"/>
      <w:r w:rsidRPr="00124B9D">
        <w:lastRenderedPageBreak/>
        <w:t xml:space="preserve">Figure </w:t>
      </w:r>
      <w:r w:rsidR="00EE6772">
        <w:fldChar w:fldCharType="begin"/>
      </w:r>
      <w:r w:rsidR="00EE6772">
        <w:instrText xml:space="preserve"> STYLEREF 1 \s </w:instrText>
      </w:r>
      <w:r w:rsidR="00EE6772">
        <w:fldChar w:fldCharType="separate"/>
      </w:r>
      <w:r w:rsidRPr="00124B9D">
        <w:t>5</w:t>
      </w:r>
      <w:r w:rsidR="00EE6772">
        <w:fldChar w:fldCharType="end"/>
      </w:r>
      <w:r w:rsidRPr="00124B9D">
        <w:noBreakHyphen/>
      </w:r>
      <w:r w:rsidR="00EE6772">
        <w:fldChar w:fldCharType="begin"/>
      </w:r>
      <w:r w:rsidR="00EE6772">
        <w:instrText xml:space="preserve"> SEQ Figure \* ARABIC \s 1 </w:instrText>
      </w:r>
      <w:r w:rsidR="00EE6772">
        <w:fldChar w:fldCharType="separate"/>
      </w:r>
      <w:r w:rsidRPr="00124B9D">
        <w:t>1</w:t>
      </w:r>
      <w:r w:rsidR="00EE6772">
        <w:fldChar w:fldCharType="end"/>
      </w:r>
      <w:r w:rsidRPr="00124B9D">
        <w:t>.</w:t>
      </w:r>
      <w:r w:rsidRPr="00124B9D">
        <w:tab/>
      </w:r>
      <w:r w:rsidR="00BA703C" w:rsidRPr="00124B9D">
        <w:t>Example</w:t>
      </w:r>
      <w:r w:rsidRPr="00124B9D">
        <w:t xml:space="preserve"> Inlet Control Flow </w:t>
      </w:r>
      <w:r w:rsidR="00D35E99" w:rsidRPr="00124B9D">
        <w:t>Condition</w:t>
      </w:r>
      <w:bookmarkEnd w:id="7"/>
    </w:p>
    <w:p w14:paraId="2A7A678C" w14:textId="1BEED520" w:rsidR="007A5F2B" w:rsidRPr="00124B9D" w:rsidRDefault="007A5F2B" w:rsidP="00D35E99">
      <w:pPr>
        <w:pStyle w:val="BodyText"/>
        <w:jc w:val="center"/>
      </w:pPr>
      <w:r w:rsidRPr="00124B9D">
        <w:rPr>
          <w:noProof/>
        </w:rPr>
        <w:drawing>
          <wp:inline distT="0" distB="0" distL="0" distR="0" wp14:anchorId="628576C5" wp14:editId="1E9032AB">
            <wp:extent cx="6035040" cy="1972411"/>
            <wp:effectExtent l="19050" t="19050" r="2286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8150" b="3175"/>
                    <a:stretch/>
                  </pic:blipFill>
                  <pic:spPr bwMode="auto">
                    <a:xfrm>
                      <a:off x="0" y="0"/>
                      <a:ext cx="6035040" cy="1972411"/>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472EE6A" w14:textId="0F639DD2" w:rsidR="007A5F2B" w:rsidRPr="00124B9D" w:rsidRDefault="007A5F2B" w:rsidP="008E041F">
      <w:pPr>
        <w:pStyle w:val="Heading4"/>
        <w:keepNext w:val="0"/>
        <w:keepLines w:val="0"/>
      </w:pPr>
      <w:r w:rsidRPr="00124B9D">
        <w:t>Outlet Control</w:t>
      </w:r>
    </w:p>
    <w:p w14:paraId="03588862" w14:textId="77777777" w:rsidR="001F28B3" w:rsidRPr="00124B9D" w:rsidRDefault="007A5F2B" w:rsidP="008E041F">
      <w:pPr>
        <w:pStyle w:val="BodyText"/>
      </w:pPr>
      <w:r w:rsidRPr="00124B9D">
        <w:t xml:space="preserve">In outlet control, the discharge capacity of a culvert is controlled by the </w:t>
      </w:r>
      <w:r w:rsidR="002B3323" w:rsidRPr="00124B9D">
        <w:t xml:space="preserve">barrel exit or </w:t>
      </w:r>
      <w:r w:rsidRPr="00124B9D">
        <w:t xml:space="preserve">downstream conditions. </w:t>
      </w:r>
      <w:r w:rsidR="002B3323" w:rsidRPr="00124B9D">
        <w:t xml:space="preserve">Outlet control generally occurs when the culvert barrel is not capable of conveying as much flow as the inlet opening will accept. </w:t>
      </w:r>
      <w:r w:rsidRPr="00124B9D">
        <w:t>Water flows through the culvert as low-velocity, deep (subcritical) flow</w:t>
      </w:r>
      <w:r w:rsidR="000B057B" w:rsidRPr="00124B9D">
        <w:t>,</w:t>
      </w:r>
      <w:r w:rsidR="002B3323" w:rsidRPr="00124B9D">
        <w:t xml:space="preserve"> or pressure flow</w:t>
      </w:r>
      <w:r w:rsidRPr="00124B9D">
        <w:t>. The culvert may flow completely or partially full</w:t>
      </w:r>
      <w:r w:rsidR="00D35E99" w:rsidRPr="00124B9D">
        <w:t xml:space="preserve">. </w:t>
      </w:r>
      <w:r w:rsidRPr="00124B9D">
        <w:t xml:space="preserve">Under outlet control, in addition to the parameters affecting inlet control, the barrel slope, length, and roughness are important. Also of importance is the tailwater elevation of the outlet. </w:t>
      </w:r>
    </w:p>
    <w:p w14:paraId="079112C4" w14:textId="5D72FA72" w:rsidR="00D35E99" w:rsidRPr="00124B9D" w:rsidRDefault="00D35E99" w:rsidP="00D35E99">
      <w:pPr>
        <w:pStyle w:val="FigureCaptionTitle"/>
      </w:pPr>
      <w:bookmarkStart w:id="8" w:name="_Toc46399349"/>
      <w:r w:rsidRPr="00124B9D">
        <w:t xml:space="preserve">Figure </w:t>
      </w:r>
      <w:r w:rsidR="00EE6772">
        <w:fldChar w:fldCharType="begin"/>
      </w:r>
      <w:r w:rsidR="00EE6772">
        <w:instrText xml:space="preserve"> STYLEREF 1 \s </w:instrText>
      </w:r>
      <w:r w:rsidR="00EE6772">
        <w:fldChar w:fldCharType="separate"/>
      </w:r>
      <w:r w:rsidRPr="00124B9D">
        <w:t>5</w:t>
      </w:r>
      <w:r w:rsidR="00EE6772">
        <w:fldChar w:fldCharType="end"/>
      </w:r>
      <w:r w:rsidRPr="00124B9D">
        <w:noBreakHyphen/>
      </w:r>
      <w:r w:rsidR="00EE6772">
        <w:fldChar w:fldCharType="begin"/>
      </w:r>
      <w:r w:rsidR="00EE6772">
        <w:instrText xml:space="preserve"> SEQ Figure \* ARABIC \s 1 </w:instrText>
      </w:r>
      <w:r w:rsidR="00EE6772">
        <w:fldChar w:fldCharType="separate"/>
      </w:r>
      <w:r w:rsidRPr="00124B9D">
        <w:t>2</w:t>
      </w:r>
      <w:r w:rsidR="00EE6772">
        <w:fldChar w:fldCharType="end"/>
      </w:r>
      <w:r w:rsidRPr="00124B9D">
        <w:t>.</w:t>
      </w:r>
      <w:r w:rsidRPr="00124B9D">
        <w:tab/>
        <w:t>Typical Outlet Control Flow Conditions</w:t>
      </w:r>
      <w:bookmarkEnd w:id="8"/>
    </w:p>
    <w:p w14:paraId="272A7556" w14:textId="7BDA7E14" w:rsidR="00D35E99" w:rsidRPr="00124B9D" w:rsidRDefault="00D35E99" w:rsidP="00D35E99">
      <w:pPr>
        <w:pStyle w:val="BodyText"/>
        <w:jc w:val="center"/>
      </w:pPr>
      <w:r w:rsidRPr="00124B9D">
        <w:rPr>
          <w:noProof/>
        </w:rPr>
        <w:drawing>
          <wp:inline distT="0" distB="0" distL="0" distR="0" wp14:anchorId="012170E5" wp14:editId="4879E721">
            <wp:extent cx="5486400" cy="4242942"/>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4242942"/>
                    </a:xfrm>
                    <a:prstGeom prst="rect">
                      <a:avLst/>
                    </a:prstGeom>
                    <a:ln w="12700">
                      <a:solidFill>
                        <a:schemeClr val="tx1"/>
                      </a:solidFill>
                    </a:ln>
                  </pic:spPr>
                </pic:pic>
              </a:graphicData>
            </a:graphic>
          </wp:inline>
        </w:drawing>
      </w:r>
    </w:p>
    <w:p w14:paraId="466D9452" w14:textId="7B787ED2" w:rsidR="00156AAF" w:rsidRPr="00124B9D" w:rsidRDefault="000B057B" w:rsidP="00806B0C">
      <w:pPr>
        <w:pStyle w:val="BodyText"/>
      </w:pPr>
      <w:r w:rsidRPr="00124B9D">
        <w:lastRenderedPageBreak/>
        <w:fldChar w:fldCharType="begin"/>
      </w:r>
      <w:r w:rsidRPr="00124B9D">
        <w:instrText xml:space="preserve"> REF _Ref46391570 \h </w:instrText>
      </w:r>
      <w:r w:rsidRPr="00124B9D">
        <w:fldChar w:fldCharType="separate"/>
      </w:r>
      <w:r w:rsidRPr="00124B9D">
        <w:t>Table 5</w:t>
      </w:r>
      <w:r w:rsidRPr="00124B9D">
        <w:noBreakHyphen/>
        <w:t>1</w:t>
      </w:r>
      <w:r w:rsidRPr="00124B9D">
        <w:fldChar w:fldCharType="end"/>
      </w:r>
      <w:r w:rsidRPr="00124B9D">
        <w:t xml:space="preserve"> </w:t>
      </w:r>
      <w:r w:rsidR="00156AAF" w:rsidRPr="00124B9D">
        <w:t>summarizes factors affecting inlet and outlet control conditions at a culvert.</w:t>
      </w:r>
    </w:p>
    <w:p w14:paraId="0A7DD5CF" w14:textId="0E762D29" w:rsidR="00156AAF" w:rsidRPr="00124B9D" w:rsidRDefault="00D11DF0" w:rsidP="00D11DF0">
      <w:pPr>
        <w:pStyle w:val="Caption"/>
      </w:pPr>
      <w:bookmarkStart w:id="9" w:name="_Ref46391570"/>
      <w:r w:rsidRPr="00124B9D">
        <w:t xml:space="preserve">Table </w:t>
      </w:r>
      <w:r w:rsidR="00EE6772">
        <w:fldChar w:fldCharType="begin"/>
      </w:r>
      <w:r w:rsidR="00EE6772">
        <w:instrText xml:space="preserve"> STYLEREF 1 \s </w:instrText>
      </w:r>
      <w:r w:rsidR="00EE6772">
        <w:fldChar w:fldCharType="separate"/>
      </w:r>
      <w:r w:rsidRPr="00124B9D">
        <w:t>5</w:t>
      </w:r>
      <w:r w:rsidR="00EE6772">
        <w:fldChar w:fldCharType="end"/>
      </w:r>
      <w:r w:rsidRPr="00124B9D">
        <w:noBreakHyphen/>
      </w:r>
      <w:r w:rsidR="00EE6772">
        <w:fldChar w:fldCharType="begin"/>
      </w:r>
      <w:r w:rsidR="00EE6772">
        <w:instrText xml:space="preserve"> SEQ Table \* ARABIC \s 1 </w:instrText>
      </w:r>
      <w:r w:rsidR="00EE6772">
        <w:fldChar w:fldCharType="separate"/>
      </w:r>
      <w:r w:rsidRPr="00124B9D">
        <w:t>1</w:t>
      </w:r>
      <w:r w:rsidR="00EE6772">
        <w:fldChar w:fldCharType="end"/>
      </w:r>
      <w:bookmarkEnd w:id="9"/>
      <w:r w:rsidRPr="00124B9D">
        <w:t>.</w:t>
      </w:r>
      <w:r w:rsidRPr="00124B9D">
        <w:tab/>
      </w:r>
      <w:r w:rsidR="00156AAF" w:rsidRPr="00124B9D">
        <w:t>Factors Affecting Inlet and Outlet Control</w:t>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2756"/>
        <w:gridCol w:w="2374"/>
      </w:tblGrid>
      <w:tr w:rsidR="00806B0C" w:rsidRPr="00124B9D" w14:paraId="3E625323" w14:textId="77777777" w:rsidTr="00D11DF0">
        <w:trPr>
          <w:jc w:val="center"/>
        </w:trPr>
        <w:tc>
          <w:tcPr>
            <w:tcW w:w="2756" w:type="dxa"/>
            <w:shd w:val="clear" w:color="auto" w:fill="00677F"/>
          </w:tcPr>
          <w:p w14:paraId="5706EA71" w14:textId="65B7CF08" w:rsidR="00806B0C" w:rsidRPr="00124B9D" w:rsidRDefault="00806B0C" w:rsidP="000B057B">
            <w:pPr>
              <w:pStyle w:val="TableHeading"/>
            </w:pPr>
            <w:r w:rsidRPr="00124B9D">
              <w:t>Inlet Control</w:t>
            </w:r>
          </w:p>
        </w:tc>
        <w:tc>
          <w:tcPr>
            <w:tcW w:w="2374" w:type="dxa"/>
            <w:shd w:val="clear" w:color="auto" w:fill="00677F"/>
          </w:tcPr>
          <w:p w14:paraId="3F5CC74B" w14:textId="35AB46BD" w:rsidR="00806B0C" w:rsidRPr="00124B9D" w:rsidRDefault="00806B0C" w:rsidP="000B057B">
            <w:pPr>
              <w:pStyle w:val="TableHeading"/>
            </w:pPr>
            <w:r w:rsidRPr="00124B9D">
              <w:t>Outlet Control</w:t>
            </w:r>
          </w:p>
        </w:tc>
      </w:tr>
      <w:tr w:rsidR="007078AC" w:rsidRPr="00124B9D" w14:paraId="454C1119" w14:textId="77777777" w:rsidTr="00D11DF0">
        <w:trPr>
          <w:trHeight w:val="634"/>
          <w:jc w:val="center"/>
        </w:trPr>
        <w:tc>
          <w:tcPr>
            <w:tcW w:w="2756" w:type="dxa"/>
            <w:vAlign w:val="center"/>
          </w:tcPr>
          <w:p w14:paraId="5D1C4852" w14:textId="62034DA1" w:rsidR="007078AC" w:rsidRPr="00124B9D" w:rsidRDefault="007078AC" w:rsidP="007C0408">
            <w:pPr>
              <w:pStyle w:val="TableText"/>
            </w:pPr>
            <w:r w:rsidRPr="00124B9D">
              <w:t>Headwater Depth</w:t>
            </w:r>
          </w:p>
        </w:tc>
        <w:tc>
          <w:tcPr>
            <w:tcW w:w="2374" w:type="dxa"/>
            <w:vAlign w:val="center"/>
          </w:tcPr>
          <w:p w14:paraId="23348BE0" w14:textId="77777777" w:rsidR="007078AC" w:rsidRPr="00124B9D" w:rsidRDefault="007078AC" w:rsidP="007C0408">
            <w:pPr>
              <w:pStyle w:val="TableText"/>
            </w:pPr>
            <w:r w:rsidRPr="00124B9D">
              <w:t>Headwater Depth</w:t>
            </w:r>
          </w:p>
          <w:p w14:paraId="210F4D21" w14:textId="31E6D011" w:rsidR="007078AC" w:rsidRPr="00124B9D" w:rsidRDefault="007078AC" w:rsidP="007C0408">
            <w:pPr>
              <w:pStyle w:val="TableText"/>
            </w:pPr>
            <w:r w:rsidRPr="00124B9D">
              <w:t>Tailwater Depth</w:t>
            </w:r>
          </w:p>
        </w:tc>
      </w:tr>
      <w:tr w:rsidR="007078AC" w:rsidRPr="00124B9D" w14:paraId="29F7CBE7" w14:textId="77777777" w:rsidTr="00D11DF0">
        <w:trPr>
          <w:trHeight w:val="956"/>
          <w:jc w:val="center"/>
        </w:trPr>
        <w:tc>
          <w:tcPr>
            <w:tcW w:w="2756" w:type="dxa"/>
            <w:vAlign w:val="center"/>
          </w:tcPr>
          <w:p w14:paraId="07C12A50" w14:textId="77777777" w:rsidR="007078AC" w:rsidRPr="00124B9D" w:rsidRDefault="007078AC" w:rsidP="007C0408">
            <w:pPr>
              <w:pStyle w:val="TableText"/>
            </w:pPr>
            <w:r w:rsidRPr="00124B9D">
              <w:t>Inlet Edge</w:t>
            </w:r>
          </w:p>
          <w:p w14:paraId="1880F3F7" w14:textId="77777777" w:rsidR="007078AC" w:rsidRPr="00124B9D" w:rsidRDefault="007078AC" w:rsidP="007C0408">
            <w:pPr>
              <w:pStyle w:val="TableText"/>
            </w:pPr>
            <w:r w:rsidRPr="00124B9D">
              <w:t>Cross Sectional Area</w:t>
            </w:r>
          </w:p>
          <w:p w14:paraId="71978665" w14:textId="261C0759" w:rsidR="007078AC" w:rsidRPr="00124B9D" w:rsidRDefault="007078AC" w:rsidP="007C0408">
            <w:pPr>
              <w:pStyle w:val="TableText"/>
            </w:pPr>
            <w:r w:rsidRPr="00124B9D">
              <w:t>Shape</w:t>
            </w:r>
          </w:p>
        </w:tc>
        <w:tc>
          <w:tcPr>
            <w:tcW w:w="2374" w:type="dxa"/>
            <w:vAlign w:val="center"/>
          </w:tcPr>
          <w:p w14:paraId="3BADC8E0" w14:textId="77777777" w:rsidR="007078AC" w:rsidRPr="00124B9D" w:rsidRDefault="007078AC" w:rsidP="007C0408">
            <w:pPr>
              <w:pStyle w:val="TableText"/>
            </w:pPr>
            <w:r w:rsidRPr="00124B9D">
              <w:t>Inlet Edge</w:t>
            </w:r>
          </w:p>
          <w:p w14:paraId="15001AA3" w14:textId="77777777" w:rsidR="007078AC" w:rsidRPr="00124B9D" w:rsidRDefault="007078AC" w:rsidP="007C0408">
            <w:pPr>
              <w:pStyle w:val="TableText"/>
            </w:pPr>
            <w:r w:rsidRPr="00124B9D">
              <w:t>Cross Sectional Area</w:t>
            </w:r>
          </w:p>
          <w:p w14:paraId="5D0BD503" w14:textId="400A89D9" w:rsidR="007078AC" w:rsidRPr="00124B9D" w:rsidRDefault="007078AC" w:rsidP="007C0408">
            <w:pPr>
              <w:pStyle w:val="TableText"/>
            </w:pPr>
            <w:r w:rsidRPr="00124B9D">
              <w:t>Shape</w:t>
            </w:r>
          </w:p>
        </w:tc>
      </w:tr>
      <w:tr w:rsidR="007078AC" w:rsidRPr="00124B9D" w14:paraId="7F4E16FE" w14:textId="77777777" w:rsidTr="00D11DF0">
        <w:trPr>
          <w:trHeight w:val="956"/>
          <w:jc w:val="center"/>
        </w:trPr>
        <w:tc>
          <w:tcPr>
            <w:tcW w:w="2756" w:type="dxa"/>
            <w:vAlign w:val="center"/>
          </w:tcPr>
          <w:p w14:paraId="3F419313" w14:textId="6188C116" w:rsidR="007078AC" w:rsidRPr="00124B9D" w:rsidRDefault="007078AC" w:rsidP="007C0408">
            <w:pPr>
              <w:pStyle w:val="TableText"/>
            </w:pPr>
            <w:r w:rsidRPr="00124B9D">
              <w:t>n/a</w:t>
            </w:r>
          </w:p>
        </w:tc>
        <w:tc>
          <w:tcPr>
            <w:tcW w:w="2374" w:type="dxa"/>
            <w:vAlign w:val="center"/>
          </w:tcPr>
          <w:p w14:paraId="085E7490" w14:textId="77777777" w:rsidR="007078AC" w:rsidRPr="00124B9D" w:rsidRDefault="007078AC" w:rsidP="007C0408">
            <w:pPr>
              <w:pStyle w:val="TableText"/>
            </w:pPr>
            <w:r w:rsidRPr="00124B9D">
              <w:t>Slope</w:t>
            </w:r>
          </w:p>
          <w:p w14:paraId="2AAA7A8D" w14:textId="77777777" w:rsidR="007078AC" w:rsidRPr="00124B9D" w:rsidRDefault="007078AC" w:rsidP="007C0408">
            <w:pPr>
              <w:pStyle w:val="TableText"/>
            </w:pPr>
            <w:r w:rsidRPr="00124B9D">
              <w:t>Length</w:t>
            </w:r>
          </w:p>
          <w:p w14:paraId="51B420A2" w14:textId="692C3C93" w:rsidR="007078AC" w:rsidRPr="00124B9D" w:rsidRDefault="007078AC" w:rsidP="007C0408">
            <w:pPr>
              <w:pStyle w:val="TableText"/>
            </w:pPr>
            <w:r w:rsidRPr="00124B9D">
              <w:t>Roughness</w:t>
            </w:r>
          </w:p>
        </w:tc>
      </w:tr>
    </w:tbl>
    <w:p w14:paraId="30369D1A" w14:textId="058A738C" w:rsidR="00E056F8" w:rsidRPr="00124B9D" w:rsidRDefault="0003732F" w:rsidP="0003732F">
      <w:pPr>
        <w:pStyle w:val="Heading3"/>
      </w:pPr>
      <w:bookmarkStart w:id="10" w:name="_Toc46399130"/>
      <w:r w:rsidRPr="00124B9D">
        <w:t>Culvert Shape</w:t>
      </w:r>
      <w:r w:rsidR="00181AE5" w:rsidRPr="00124B9D">
        <w:t>,</w:t>
      </w:r>
      <w:r w:rsidRPr="00124B9D">
        <w:t xml:space="preserve"> Cross Section</w:t>
      </w:r>
      <w:r w:rsidR="00181AE5" w:rsidRPr="00124B9D">
        <w:t>, and Material</w:t>
      </w:r>
      <w:bookmarkEnd w:id="10"/>
    </w:p>
    <w:p w14:paraId="17592E12" w14:textId="54315289" w:rsidR="0003732F" w:rsidRPr="00124B9D" w:rsidRDefault="0003732F" w:rsidP="001F28B3">
      <w:pPr>
        <w:pStyle w:val="BodyText"/>
        <w:spacing w:after="120"/>
      </w:pPr>
      <w:r w:rsidRPr="00124B9D">
        <w:t>Culvert type selection includes the shape and cross section, choice of materials</w:t>
      </w:r>
      <w:r w:rsidR="000B057B" w:rsidRPr="00124B9D">
        <w:t>,</w:t>
      </w:r>
      <w:r w:rsidRPr="00124B9D">
        <w:t xml:space="preserve"> and number of culvert barrels or spans. The </w:t>
      </w:r>
      <w:r w:rsidR="000B057B" w:rsidRPr="00124B9D">
        <w:t xml:space="preserve">following </w:t>
      </w:r>
      <w:r w:rsidRPr="00124B9D">
        <w:t>shapes and cross sections are acceptable for culverts</w:t>
      </w:r>
      <w:r w:rsidR="000B057B" w:rsidRPr="00124B9D">
        <w:t>:</w:t>
      </w:r>
      <w:r w:rsidRPr="00124B9D">
        <w:t xml:space="preserve"> </w:t>
      </w:r>
    </w:p>
    <w:p w14:paraId="456A7B45" w14:textId="015F4D68" w:rsidR="0003732F" w:rsidRPr="00124B9D" w:rsidRDefault="0003732F" w:rsidP="0003732F">
      <w:pPr>
        <w:pStyle w:val="ReportBullet1"/>
      </w:pPr>
      <w:r w:rsidRPr="00124B9D">
        <w:t>Circular: Most common; standard lengths and strength classes are available.</w:t>
      </w:r>
    </w:p>
    <w:p w14:paraId="40294A0D" w14:textId="0B5EC808" w:rsidR="0003732F" w:rsidRPr="00124B9D" w:rsidRDefault="0003732F" w:rsidP="0003732F">
      <w:pPr>
        <w:pStyle w:val="ReportBullet1"/>
      </w:pPr>
      <w:r w:rsidRPr="00124B9D">
        <w:t xml:space="preserve">Pipe </w:t>
      </w:r>
      <w:r w:rsidR="006C038D" w:rsidRPr="00124B9D">
        <w:t>A</w:t>
      </w:r>
      <w:r w:rsidRPr="00124B9D">
        <w:t xml:space="preserve">rch and </w:t>
      </w:r>
      <w:r w:rsidR="006C038D" w:rsidRPr="00124B9D">
        <w:t>E</w:t>
      </w:r>
      <w:r w:rsidRPr="00124B9D">
        <w:t>lliptical: Typically used where cover is limited.</w:t>
      </w:r>
    </w:p>
    <w:p w14:paraId="5C3F7D17" w14:textId="6758932B" w:rsidR="00CA06F3" w:rsidRPr="00124B9D" w:rsidRDefault="0003732F" w:rsidP="001F28B3">
      <w:pPr>
        <w:pStyle w:val="ReportBullet1LAST"/>
        <w:spacing w:after="120"/>
      </w:pPr>
      <w:r w:rsidRPr="00124B9D">
        <w:t xml:space="preserve">Box or </w:t>
      </w:r>
      <w:r w:rsidR="006C038D" w:rsidRPr="00124B9D">
        <w:t>R</w:t>
      </w:r>
      <w:r w:rsidRPr="00124B9D">
        <w:t xml:space="preserve">ectangle: </w:t>
      </w:r>
      <w:r w:rsidR="006C038D" w:rsidRPr="00124B9D">
        <w:t xml:space="preserve">Typically used for larger culverts where pipes are not </w:t>
      </w:r>
      <w:r w:rsidR="00AE3199" w:rsidRPr="00124B9D">
        <w:t>adequate</w:t>
      </w:r>
      <w:r w:rsidR="006C038D" w:rsidRPr="00124B9D">
        <w:t xml:space="preserve">. </w:t>
      </w:r>
      <w:r w:rsidR="000B057B" w:rsidRPr="00124B9D">
        <w:t>A l</w:t>
      </w:r>
      <w:r w:rsidR="006C038D" w:rsidRPr="00124B9D">
        <w:t xml:space="preserve">onger construction time </w:t>
      </w:r>
      <w:r w:rsidR="000B057B" w:rsidRPr="00124B9D">
        <w:t xml:space="preserve">is </w:t>
      </w:r>
      <w:r w:rsidR="006C038D" w:rsidRPr="00124B9D">
        <w:t>required for cast-in-place construction; precast construction may be considered.</w:t>
      </w:r>
    </w:p>
    <w:p w14:paraId="4551F7E2" w14:textId="5233E7FA" w:rsidR="000B057B" w:rsidRPr="00124B9D" w:rsidRDefault="000B057B" w:rsidP="000B057B">
      <w:pPr>
        <w:pStyle w:val="BodyText"/>
      </w:pPr>
      <w:r w:rsidRPr="00124B9D">
        <w:fldChar w:fldCharType="begin"/>
      </w:r>
      <w:r w:rsidRPr="00124B9D">
        <w:instrText xml:space="preserve"> REF _Ref46391775 \h </w:instrText>
      </w:r>
      <w:r w:rsidRPr="00124B9D">
        <w:fldChar w:fldCharType="separate"/>
      </w:r>
      <w:r w:rsidRPr="00124B9D">
        <w:t>Table 5</w:t>
      </w:r>
      <w:r w:rsidRPr="00124B9D">
        <w:noBreakHyphen/>
        <w:t>2</w:t>
      </w:r>
      <w:r w:rsidRPr="00124B9D">
        <w:fldChar w:fldCharType="end"/>
      </w:r>
      <w:r w:rsidRPr="00124B9D">
        <w:t xml:space="preserve"> shows equivalent pipe cross sections.</w:t>
      </w:r>
    </w:p>
    <w:p w14:paraId="1D36E974" w14:textId="096820D3" w:rsidR="006C038D" w:rsidRPr="00124B9D" w:rsidRDefault="006C038D" w:rsidP="006C038D">
      <w:pPr>
        <w:pStyle w:val="TableCaptionTitle"/>
      </w:pPr>
      <w:bookmarkStart w:id="11" w:name="_Ref46391775"/>
      <w:r w:rsidRPr="00124B9D">
        <w:t xml:space="preserve">Table </w:t>
      </w:r>
      <w:r w:rsidR="00EE6772">
        <w:fldChar w:fldCharType="begin"/>
      </w:r>
      <w:r w:rsidR="00EE6772">
        <w:instrText xml:space="preserve"> STYLEREF 1 \s </w:instrText>
      </w:r>
      <w:r w:rsidR="00EE6772">
        <w:fldChar w:fldCharType="separate"/>
      </w:r>
      <w:r w:rsidR="00D11DF0" w:rsidRPr="00124B9D">
        <w:t>5</w:t>
      </w:r>
      <w:r w:rsidR="00EE6772">
        <w:fldChar w:fldCharType="end"/>
      </w:r>
      <w:r w:rsidR="00D11DF0" w:rsidRPr="00124B9D">
        <w:noBreakHyphen/>
      </w:r>
      <w:r w:rsidR="00EE6772">
        <w:fldChar w:fldCharType="begin"/>
      </w:r>
      <w:r w:rsidR="00EE6772">
        <w:instrText xml:space="preserve"> SEQ Table \* ARABIC \s 1 </w:instrText>
      </w:r>
      <w:r w:rsidR="00EE6772">
        <w:fldChar w:fldCharType="separate"/>
      </w:r>
      <w:r w:rsidR="00D11DF0" w:rsidRPr="00124B9D">
        <w:t>2</w:t>
      </w:r>
      <w:r w:rsidR="00EE6772">
        <w:fldChar w:fldCharType="end"/>
      </w:r>
      <w:bookmarkEnd w:id="11"/>
      <w:r w:rsidRPr="00124B9D">
        <w:t>.</w:t>
      </w:r>
      <w:r w:rsidRPr="00124B9D">
        <w:tab/>
        <w:t>Equivalent Pipe Cross Sections</w:t>
      </w:r>
    </w:p>
    <w:tbl>
      <w:tblPr>
        <w:tblStyle w:val="TableGrid"/>
        <w:tblW w:w="9540" w:type="dxa"/>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ayout w:type="fixed"/>
        <w:tblLook w:val="04A0" w:firstRow="1" w:lastRow="0" w:firstColumn="1" w:lastColumn="0" w:noHBand="0" w:noVBand="1"/>
      </w:tblPr>
      <w:tblGrid>
        <w:gridCol w:w="1211"/>
        <w:gridCol w:w="725"/>
        <w:gridCol w:w="854"/>
        <w:gridCol w:w="810"/>
        <w:gridCol w:w="900"/>
        <w:gridCol w:w="810"/>
        <w:gridCol w:w="810"/>
        <w:gridCol w:w="810"/>
        <w:gridCol w:w="810"/>
        <w:gridCol w:w="810"/>
        <w:gridCol w:w="990"/>
      </w:tblGrid>
      <w:tr w:rsidR="006C038D" w:rsidRPr="00124B9D" w14:paraId="73A699F5" w14:textId="5B84C3C4" w:rsidTr="00327F65">
        <w:trPr>
          <w:jc w:val="center"/>
        </w:trPr>
        <w:tc>
          <w:tcPr>
            <w:tcW w:w="1936" w:type="dxa"/>
            <w:gridSpan w:val="2"/>
            <w:tcBorders>
              <w:right w:val="single" w:sz="18" w:space="0" w:color="595959" w:themeColor="text1" w:themeTint="A6"/>
            </w:tcBorders>
            <w:shd w:val="clear" w:color="auto" w:fill="00677F"/>
            <w:vAlign w:val="center"/>
          </w:tcPr>
          <w:p w14:paraId="2331651E" w14:textId="2B6F4931" w:rsidR="006C038D" w:rsidRPr="00124B9D" w:rsidRDefault="006C038D" w:rsidP="001F28B3">
            <w:pPr>
              <w:pStyle w:val="TableHeading"/>
              <w:spacing w:before="20" w:after="20"/>
            </w:pPr>
            <w:r w:rsidRPr="00124B9D">
              <w:t>Circular Pipe</w:t>
            </w:r>
          </w:p>
        </w:tc>
        <w:tc>
          <w:tcPr>
            <w:tcW w:w="2564" w:type="dxa"/>
            <w:gridSpan w:val="3"/>
            <w:tcBorders>
              <w:left w:val="single" w:sz="18" w:space="0" w:color="595959" w:themeColor="text1" w:themeTint="A6"/>
              <w:right w:val="single" w:sz="18" w:space="0" w:color="595959" w:themeColor="text1" w:themeTint="A6"/>
            </w:tcBorders>
            <w:shd w:val="clear" w:color="auto" w:fill="00677F"/>
            <w:vAlign w:val="center"/>
          </w:tcPr>
          <w:p w14:paraId="16C17BD4" w14:textId="01A7BB21" w:rsidR="006C038D" w:rsidRPr="00124B9D" w:rsidRDefault="006C038D" w:rsidP="001F28B3">
            <w:pPr>
              <w:pStyle w:val="TableHeading"/>
              <w:spacing w:before="20" w:after="20"/>
            </w:pPr>
            <w:r w:rsidRPr="00124B9D">
              <w:t>Concrete Pipe</w:t>
            </w:r>
            <w:r w:rsidRPr="00124B9D">
              <w:br/>
              <w:t>Horizontal – Elliptical</w:t>
            </w:r>
          </w:p>
        </w:tc>
        <w:tc>
          <w:tcPr>
            <w:tcW w:w="2430" w:type="dxa"/>
            <w:gridSpan w:val="3"/>
            <w:tcBorders>
              <w:left w:val="single" w:sz="18" w:space="0" w:color="595959" w:themeColor="text1" w:themeTint="A6"/>
              <w:right w:val="single" w:sz="18" w:space="0" w:color="595959" w:themeColor="text1" w:themeTint="A6"/>
            </w:tcBorders>
            <w:shd w:val="clear" w:color="auto" w:fill="00677F"/>
            <w:vAlign w:val="center"/>
          </w:tcPr>
          <w:p w14:paraId="4F0D45B2" w14:textId="5EC5F4F8" w:rsidR="006C038D" w:rsidRPr="00124B9D" w:rsidRDefault="006C038D" w:rsidP="001F28B3">
            <w:pPr>
              <w:pStyle w:val="TableHeading"/>
              <w:spacing w:before="20" w:after="20"/>
            </w:pPr>
            <w:r w:rsidRPr="00124B9D">
              <w:t>Concrete Pipe</w:t>
            </w:r>
            <w:r w:rsidRPr="00124B9D">
              <w:br/>
              <w:t>A</w:t>
            </w:r>
            <w:r w:rsidR="00334A8B" w:rsidRPr="00124B9D">
              <w:t>rch</w:t>
            </w:r>
          </w:p>
        </w:tc>
        <w:tc>
          <w:tcPr>
            <w:tcW w:w="2610" w:type="dxa"/>
            <w:gridSpan w:val="3"/>
            <w:tcBorders>
              <w:left w:val="single" w:sz="18" w:space="0" w:color="595959" w:themeColor="text1" w:themeTint="A6"/>
            </w:tcBorders>
            <w:shd w:val="clear" w:color="auto" w:fill="00677F"/>
            <w:vAlign w:val="center"/>
          </w:tcPr>
          <w:p w14:paraId="1037CEF8" w14:textId="69808F2B" w:rsidR="006C038D" w:rsidRPr="00124B9D" w:rsidRDefault="00334A8B" w:rsidP="001F28B3">
            <w:pPr>
              <w:pStyle w:val="TableHeading"/>
              <w:spacing w:before="20" w:after="20"/>
            </w:pPr>
            <w:r w:rsidRPr="00124B9D">
              <w:t>Corrugated Metal Pipe</w:t>
            </w:r>
            <w:r w:rsidRPr="00124B9D">
              <w:br/>
              <w:t>Arch (</w:t>
            </w:r>
            <w:r w:rsidR="009A5C90" w:rsidRPr="00124B9D">
              <w:t>2</w:t>
            </w:r>
            <w:r w:rsidR="00AF4A1A" w:rsidRPr="00124B9D">
              <w:t xml:space="preserve"> </w:t>
            </w:r>
            <w:r w:rsidR="00AF4A1A" w:rsidRPr="00124B9D">
              <w:rPr>
                <w:vertAlign w:val="superscript"/>
              </w:rPr>
              <w:t>2</w:t>
            </w:r>
            <w:r w:rsidR="00AF4A1A" w:rsidRPr="00124B9D">
              <w:t>/</w:t>
            </w:r>
            <w:r w:rsidR="00AF4A1A" w:rsidRPr="00124B9D">
              <w:rPr>
                <w:vertAlign w:val="subscript"/>
              </w:rPr>
              <w:t>3</w:t>
            </w:r>
            <w:r w:rsidR="009A5C90" w:rsidRPr="00124B9D">
              <w:t xml:space="preserve"> </w:t>
            </w:r>
            <w:r w:rsidRPr="00124B9D">
              <w:t xml:space="preserve">in x </w:t>
            </w:r>
            <w:r w:rsidR="00AF4A1A" w:rsidRPr="00124B9D">
              <w:rPr>
                <w:vertAlign w:val="superscript"/>
              </w:rPr>
              <w:t>1</w:t>
            </w:r>
            <w:r w:rsidR="00AF4A1A" w:rsidRPr="00124B9D">
              <w:t>/</w:t>
            </w:r>
            <w:r w:rsidR="00AF4A1A" w:rsidRPr="00124B9D">
              <w:rPr>
                <w:vertAlign w:val="subscript"/>
              </w:rPr>
              <w:t>2</w:t>
            </w:r>
            <w:r w:rsidRPr="00124B9D">
              <w:t xml:space="preserve"> in)</w:t>
            </w:r>
          </w:p>
        </w:tc>
      </w:tr>
      <w:tr w:rsidR="00EE03C0" w:rsidRPr="00124B9D" w14:paraId="46F7E9D9" w14:textId="480BC1CE" w:rsidTr="00327F65">
        <w:trPr>
          <w:jc w:val="center"/>
        </w:trPr>
        <w:tc>
          <w:tcPr>
            <w:tcW w:w="1211" w:type="dxa"/>
            <w:tcBorders>
              <w:bottom w:val="single" w:sz="18" w:space="0" w:color="595959" w:themeColor="text1" w:themeTint="A6"/>
            </w:tcBorders>
            <w:shd w:val="clear" w:color="auto" w:fill="00677F"/>
            <w:vAlign w:val="center"/>
          </w:tcPr>
          <w:p w14:paraId="5EA6C9D3" w14:textId="5F961013" w:rsidR="006C038D" w:rsidRPr="00124B9D" w:rsidRDefault="006C038D" w:rsidP="001F28B3">
            <w:pPr>
              <w:pStyle w:val="TableHeading"/>
              <w:spacing w:before="20" w:after="20"/>
            </w:pPr>
            <w:r w:rsidRPr="00124B9D">
              <w:t>Diameter</w:t>
            </w:r>
            <w:r w:rsidRPr="00124B9D">
              <w:br/>
              <w:t>(in)</w:t>
            </w:r>
          </w:p>
        </w:tc>
        <w:tc>
          <w:tcPr>
            <w:tcW w:w="725" w:type="dxa"/>
            <w:tcBorders>
              <w:bottom w:val="single" w:sz="18" w:space="0" w:color="595959" w:themeColor="text1" w:themeTint="A6"/>
              <w:right w:val="single" w:sz="18" w:space="0" w:color="595959" w:themeColor="text1" w:themeTint="A6"/>
            </w:tcBorders>
            <w:shd w:val="clear" w:color="auto" w:fill="00677F"/>
            <w:vAlign w:val="center"/>
          </w:tcPr>
          <w:p w14:paraId="3F9996D1" w14:textId="3E9119C2" w:rsidR="006C038D" w:rsidRPr="00124B9D" w:rsidRDefault="006C038D" w:rsidP="001F28B3">
            <w:pPr>
              <w:pStyle w:val="TableHeading"/>
              <w:spacing w:before="20" w:after="20"/>
            </w:pPr>
            <w:r w:rsidRPr="00124B9D">
              <w:t>Area</w:t>
            </w:r>
            <w:r w:rsidRPr="00124B9D">
              <w:br/>
              <w:t>(ft</w:t>
            </w:r>
            <w:r w:rsidRPr="00124B9D">
              <w:rPr>
                <w:vertAlign w:val="superscript"/>
              </w:rPr>
              <w:t>2</w:t>
            </w:r>
            <w:r w:rsidRPr="00124B9D">
              <w:t>)</w:t>
            </w:r>
          </w:p>
        </w:tc>
        <w:tc>
          <w:tcPr>
            <w:tcW w:w="854" w:type="dxa"/>
            <w:tcBorders>
              <w:left w:val="single" w:sz="18" w:space="0" w:color="595959" w:themeColor="text1" w:themeTint="A6"/>
              <w:bottom w:val="single" w:sz="18" w:space="0" w:color="595959" w:themeColor="text1" w:themeTint="A6"/>
            </w:tcBorders>
            <w:shd w:val="clear" w:color="auto" w:fill="00677F"/>
            <w:vAlign w:val="center"/>
          </w:tcPr>
          <w:p w14:paraId="023BB0BD" w14:textId="00C1E846" w:rsidR="006C038D" w:rsidRPr="00124B9D" w:rsidRDefault="006C038D" w:rsidP="001F28B3">
            <w:pPr>
              <w:pStyle w:val="TableHeading"/>
              <w:spacing w:before="20" w:after="20"/>
            </w:pPr>
            <w:r w:rsidRPr="00124B9D">
              <w:t>Span</w:t>
            </w:r>
            <w:r w:rsidRPr="00124B9D">
              <w:br/>
              <w:t>(in)</w:t>
            </w:r>
          </w:p>
        </w:tc>
        <w:tc>
          <w:tcPr>
            <w:tcW w:w="810" w:type="dxa"/>
            <w:tcBorders>
              <w:bottom w:val="single" w:sz="18" w:space="0" w:color="595959" w:themeColor="text1" w:themeTint="A6"/>
            </w:tcBorders>
            <w:shd w:val="clear" w:color="auto" w:fill="00677F"/>
            <w:vAlign w:val="center"/>
          </w:tcPr>
          <w:p w14:paraId="53283D7A" w14:textId="2D834B5A" w:rsidR="006C038D" w:rsidRPr="00124B9D" w:rsidRDefault="006C038D" w:rsidP="001F28B3">
            <w:pPr>
              <w:pStyle w:val="TableHeading"/>
              <w:spacing w:before="20" w:after="20"/>
            </w:pPr>
            <w:r w:rsidRPr="00124B9D">
              <w:t>Rise</w:t>
            </w:r>
            <w:r w:rsidRPr="00124B9D">
              <w:br/>
              <w:t>(in)</w:t>
            </w:r>
          </w:p>
        </w:tc>
        <w:tc>
          <w:tcPr>
            <w:tcW w:w="900" w:type="dxa"/>
            <w:tcBorders>
              <w:bottom w:val="single" w:sz="18" w:space="0" w:color="595959" w:themeColor="text1" w:themeTint="A6"/>
              <w:right w:val="single" w:sz="18" w:space="0" w:color="595959" w:themeColor="text1" w:themeTint="A6"/>
            </w:tcBorders>
            <w:shd w:val="clear" w:color="auto" w:fill="00677F"/>
            <w:vAlign w:val="center"/>
          </w:tcPr>
          <w:p w14:paraId="121CF86D" w14:textId="095F6A2C" w:rsidR="006C038D" w:rsidRPr="00124B9D" w:rsidRDefault="006C038D" w:rsidP="001F28B3">
            <w:pPr>
              <w:pStyle w:val="TableHeading"/>
              <w:spacing w:before="20" w:after="20"/>
            </w:pPr>
            <w:r w:rsidRPr="00124B9D">
              <w:t>Area</w:t>
            </w:r>
            <w:r w:rsidRPr="00124B9D">
              <w:br/>
              <w:t>(ft</w:t>
            </w:r>
            <w:r w:rsidRPr="00124B9D">
              <w:rPr>
                <w:vertAlign w:val="superscript"/>
              </w:rPr>
              <w:t>2</w:t>
            </w:r>
            <w:r w:rsidRPr="00124B9D">
              <w:t>)</w:t>
            </w:r>
          </w:p>
        </w:tc>
        <w:tc>
          <w:tcPr>
            <w:tcW w:w="810" w:type="dxa"/>
            <w:tcBorders>
              <w:left w:val="single" w:sz="18" w:space="0" w:color="595959" w:themeColor="text1" w:themeTint="A6"/>
              <w:bottom w:val="single" w:sz="18" w:space="0" w:color="595959" w:themeColor="text1" w:themeTint="A6"/>
            </w:tcBorders>
            <w:shd w:val="clear" w:color="auto" w:fill="00677F"/>
            <w:vAlign w:val="center"/>
          </w:tcPr>
          <w:p w14:paraId="31C6FE7D" w14:textId="7BC3B01F" w:rsidR="006C038D" w:rsidRPr="00124B9D" w:rsidRDefault="006C038D" w:rsidP="001F28B3">
            <w:pPr>
              <w:pStyle w:val="TableHeading"/>
              <w:spacing w:before="20" w:after="20"/>
            </w:pPr>
            <w:r w:rsidRPr="00124B9D">
              <w:t>Span</w:t>
            </w:r>
            <w:r w:rsidRPr="00124B9D">
              <w:br/>
              <w:t>(in)</w:t>
            </w:r>
          </w:p>
        </w:tc>
        <w:tc>
          <w:tcPr>
            <w:tcW w:w="810" w:type="dxa"/>
            <w:tcBorders>
              <w:bottom w:val="single" w:sz="18" w:space="0" w:color="595959" w:themeColor="text1" w:themeTint="A6"/>
            </w:tcBorders>
            <w:shd w:val="clear" w:color="auto" w:fill="00677F"/>
            <w:vAlign w:val="center"/>
          </w:tcPr>
          <w:p w14:paraId="3A1DD688" w14:textId="1D488D86" w:rsidR="006C038D" w:rsidRPr="00124B9D" w:rsidRDefault="006C038D" w:rsidP="001F28B3">
            <w:pPr>
              <w:pStyle w:val="TableHeading"/>
              <w:spacing w:before="20" w:after="20"/>
            </w:pPr>
            <w:r w:rsidRPr="00124B9D">
              <w:t>Rise</w:t>
            </w:r>
            <w:r w:rsidRPr="00124B9D">
              <w:br/>
              <w:t>(in)</w:t>
            </w:r>
          </w:p>
        </w:tc>
        <w:tc>
          <w:tcPr>
            <w:tcW w:w="810" w:type="dxa"/>
            <w:tcBorders>
              <w:bottom w:val="single" w:sz="18" w:space="0" w:color="595959" w:themeColor="text1" w:themeTint="A6"/>
              <w:right w:val="single" w:sz="18" w:space="0" w:color="595959" w:themeColor="text1" w:themeTint="A6"/>
            </w:tcBorders>
            <w:shd w:val="clear" w:color="auto" w:fill="00677F"/>
            <w:vAlign w:val="center"/>
          </w:tcPr>
          <w:p w14:paraId="25BBE012" w14:textId="036A15B1" w:rsidR="006C038D" w:rsidRPr="00124B9D" w:rsidRDefault="006C038D" w:rsidP="001F28B3">
            <w:pPr>
              <w:pStyle w:val="TableHeading"/>
              <w:spacing w:before="20" w:after="20"/>
            </w:pPr>
            <w:r w:rsidRPr="00124B9D">
              <w:t>Area</w:t>
            </w:r>
            <w:r w:rsidRPr="00124B9D">
              <w:br/>
              <w:t>(ft</w:t>
            </w:r>
            <w:r w:rsidRPr="00124B9D">
              <w:rPr>
                <w:vertAlign w:val="superscript"/>
              </w:rPr>
              <w:t>2</w:t>
            </w:r>
            <w:r w:rsidRPr="00124B9D">
              <w:t>)</w:t>
            </w:r>
          </w:p>
        </w:tc>
        <w:tc>
          <w:tcPr>
            <w:tcW w:w="810" w:type="dxa"/>
            <w:tcBorders>
              <w:left w:val="single" w:sz="18" w:space="0" w:color="595959" w:themeColor="text1" w:themeTint="A6"/>
              <w:bottom w:val="single" w:sz="18" w:space="0" w:color="595959" w:themeColor="text1" w:themeTint="A6"/>
            </w:tcBorders>
            <w:shd w:val="clear" w:color="auto" w:fill="00677F"/>
            <w:vAlign w:val="center"/>
          </w:tcPr>
          <w:p w14:paraId="0616E125" w14:textId="4E01C324" w:rsidR="006C038D" w:rsidRPr="00124B9D" w:rsidRDefault="006C038D" w:rsidP="001F28B3">
            <w:pPr>
              <w:pStyle w:val="TableHeading"/>
              <w:spacing w:before="20" w:after="20"/>
            </w:pPr>
            <w:r w:rsidRPr="00124B9D">
              <w:t>Span</w:t>
            </w:r>
            <w:r w:rsidRPr="00124B9D">
              <w:br/>
              <w:t>(in)</w:t>
            </w:r>
          </w:p>
        </w:tc>
        <w:tc>
          <w:tcPr>
            <w:tcW w:w="810" w:type="dxa"/>
            <w:tcBorders>
              <w:bottom w:val="single" w:sz="18" w:space="0" w:color="595959" w:themeColor="text1" w:themeTint="A6"/>
            </w:tcBorders>
            <w:shd w:val="clear" w:color="auto" w:fill="00677F"/>
            <w:vAlign w:val="center"/>
          </w:tcPr>
          <w:p w14:paraId="36C7EBBC" w14:textId="34A82341" w:rsidR="006C038D" w:rsidRPr="00124B9D" w:rsidRDefault="006C038D" w:rsidP="001F28B3">
            <w:pPr>
              <w:pStyle w:val="TableHeading"/>
              <w:spacing w:before="20" w:after="20"/>
            </w:pPr>
            <w:r w:rsidRPr="00124B9D">
              <w:t>Rise</w:t>
            </w:r>
            <w:r w:rsidRPr="00124B9D">
              <w:br/>
              <w:t>(in)</w:t>
            </w:r>
          </w:p>
        </w:tc>
        <w:tc>
          <w:tcPr>
            <w:tcW w:w="990" w:type="dxa"/>
            <w:tcBorders>
              <w:bottom w:val="single" w:sz="18" w:space="0" w:color="595959" w:themeColor="text1" w:themeTint="A6"/>
            </w:tcBorders>
            <w:shd w:val="clear" w:color="auto" w:fill="00677F"/>
            <w:vAlign w:val="center"/>
          </w:tcPr>
          <w:p w14:paraId="2EAB53FB" w14:textId="315D5306" w:rsidR="006C038D" w:rsidRPr="00124B9D" w:rsidRDefault="006C038D" w:rsidP="001F28B3">
            <w:pPr>
              <w:pStyle w:val="TableHeading"/>
              <w:spacing w:before="20" w:after="20"/>
            </w:pPr>
            <w:r w:rsidRPr="00124B9D">
              <w:t>Area</w:t>
            </w:r>
            <w:r w:rsidRPr="00124B9D">
              <w:br/>
              <w:t>(ft</w:t>
            </w:r>
            <w:r w:rsidRPr="00124B9D">
              <w:rPr>
                <w:vertAlign w:val="superscript"/>
              </w:rPr>
              <w:t>2</w:t>
            </w:r>
            <w:r w:rsidRPr="00124B9D">
              <w:t>)</w:t>
            </w:r>
          </w:p>
        </w:tc>
      </w:tr>
      <w:tr w:rsidR="00CA06F3" w:rsidRPr="00124B9D" w14:paraId="4B9176B8" w14:textId="77777777" w:rsidTr="00327F65">
        <w:trPr>
          <w:jc w:val="center"/>
        </w:trPr>
        <w:tc>
          <w:tcPr>
            <w:tcW w:w="1211" w:type="dxa"/>
            <w:tcBorders>
              <w:top w:val="single" w:sz="18" w:space="0" w:color="595959" w:themeColor="text1" w:themeTint="A6"/>
            </w:tcBorders>
            <w:vAlign w:val="center"/>
          </w:tcPr>
          <w:p w14:paraId="1B9C5C8A" w14:textId="1E25FF27" w:rsidR="00CA06F3" w:rsidRPr="00124B9D" w:rsidRDefault="00CA06F3" w:rsidP="008E041F">
            <w:pPr>
              <w:pStyle w:val="TableText"/>
              <w:spacing w:before="20" w:after="20"/>
              <w:jc w:val="center"/>
            </w:pPr>
            <w:r w:rsidRPr="00124B9D">
              <w:t>15</w:t>
            </w:r>
          </w:p>
        </w:tc>
        <w:tc>
          <w:tcPr>
            <w:tcW w:w="725" w:type="dxa"/>
            <w:tcBorders>
              <w:top w:val="single" w:sz="18" w:space="0" w:color="595959" w:themeColor="text1" w:themeTint="A6"/>
              <w:right w:val="single" w:sz="18" w:space="0" w:color="595959" w:themeColor="text1" w:themeTint="A6"/>
            </w:tcBorders>
            <w:vAlign w:val="center"/>
          </w:tcPr>
          <w:p w14:paraId="5896D88C" w14:textId="0E8E8671" w:rsidR="00CA06F3" w:rsidRPr="00124B9D" w:rsidRDefault="00CA06F3" w:rsidP="008E041F">
            <w:pPr>
              <w:pStyle w:val="TableText"/>
              <w:spacing w:before="20" w:after="20"/>
              <w:jc w:val="center"/>
            </w:pPr>
            <w:r w:rsidRPr="00124B9D">
              <w:t>1.23</w:t>
            </w:r>
          </w:p>
        </w:tc>
        <w:tc>
          <w:tcPr>
            <w:tcW w:w="854" w:type="dxa"/>
            <w:tcBorders>
              <w:top w:val="single" w:sz="18" w:space="0" w:color="595959" w:themeColor="text1" w:themeTint="A6"/>
              <w:left w:val="single" w:sz="18" w:space="0" w:color="595959" w:themeColor="text1" w:themeTint="A6"/>
            </w:tcBorders>
            <w:vAlign w:val="center"/>
          </w:tcPr>
          <w:p w14:paraId="2DFE5877" w14:textId="4DAF7B57" w:rsidR="00CA06F3" w:rsidRPr="00124B9D" w:rsidRDefault="007574FB" w:rsidP="008E041F">
            <w:pPr>
              <w:pStyle w:val="TableText"/>
              <w:spacing w:before="20" w:after="20"/>
              <w:jc w:val="center"/>
            </w:pPr>
            <w:r w:rsidRPr="00124B9D">
              <w:t>—</w:t>
            </w:r>
          </w:p>
        </w:tc>
        <w:tc>
          <w:tcPr>
            <w:tcW w:w="810" w:type="dxa"/>
            <w:tcBorders>
              <w:top w:val="single" w:sz="18" w:space="0" w:color="595959" w:themeColor="text1" w:themeTint="A6"/>
            </w:tcBorders>
            <w:vAlign w:val="center"/>
          </w:tcPr>
          <w:p w14:paraId="11948C66" w14:textId="1D7D4933" w:rsidR="00CA06F3" w:rsidRPr="00124B9D" w:rsidRDefault="007574FB" w:rsidP="008E041F">
            <w:pPr>
              <w:pStyle w:val="TableText"/>
              <w:spacing w:before="20" w:after="20"/>
              <w:jc w:val="center"/>
            </w:pPr>
            <w:r w:rsidRPr="00124B9D">
              <w:t>—</w:t>
            </w:r>
          </w:p>
        </w:tc>
        <w:tc>
          <w:tcPr>
            <w:tcW w:w="900" w:type="dxa"/>
            <w:tcBorders>
              <w:top w:val="single" w:sz="18" w:space="0" w:color="595959" w:themeColor="text1" w:themeTint="A6"/>
              <w:right w:val="single" w:sz="18" w:space="0" w:color="595959" w:themeColor="text1" w:themeTint="A6"/>
            </w:tcBorders>
            <w:vAlign w:val="center"/>
          </w:tcPr>
          <w:p w14:paraId="0ADADD41" w14:textId="16454433" w:rsidR="00CA06F3" w:rsidRPr="00124B9D" w:rsidRDefault="007574FB" w:rsidP="008E041F">
            <w:pPr>
              <w:pStyle w:val="TableText"/>
              <w:spacing w:before="20" w:after="20"/>
              <w:jc w:val="center"/>
            </w:pPr>
            <w:r w:rsidRPr="00124B9D">
              <w:t>—</w:t>
            </w:r>
          </w:p>
        </w:tc>
        <w:tc>
          <w:tcPr>
            <w:tcW w:w="810" w:type="dxa"/>
            <w:tcBorders>
              <w:top w:val="single" w:sz="18" w:space="0" w:color="595959" w:themeColor="text1" w:themeTint="A6"/>
              <w:left w:val="single" w:sz="18" w:space="0" w:color="595959" w:themeColor="text1" w:themeTint="A6"/>
            </w:tcBorders>
            <w:vAlign w:val="center"/>
          </w:tcPr>
          <w:p w14:paraId="0966C2EF" w14:textId="524831D6" w:rsidR="00CA06F3" w:rsidRPr="00124B9D" w:rsidRDefault="007574FB" w:rsidP="008E041F">
            <w:pPr>
              <w:pStyle w:val="TableText"/>
              <w:spacing w:before="20" w:after="20"/>
              <w:jc w:val="center"/>
            </w:pPr>
            <w:r w:rsidRPr="00124B9D">
              <w:t>—</w:t>
            </w:r>
          </w:p>
        </w:tc>
        <w:tc>
          <w:tcPr>
            <w:tcW w:w="810" w:type="dxa"/>
            <w:tcBorders>
              <w:top w:val="single" w:sz="18" w:space="0" w:color="595959" w:themeColor="text1" w:themeTint="A6"/>
            </w:tcBorders>
            <w:vAlign w:val="center"/>
          </w:tcPr>
          <w:p w14:paraId="465106C4" w14:textId="1C2372F1" w:rsidR="00CA06F3" w:rsidRPr="00124B9D" w:rsidRDefault="007574FB" w:rsidP="008E041F">
            <w:pPr>
              <w:pStyle w:val="TableText"/>
              <w:spacing w:before="20" w:after="20"/>
              <w:jc w:val="center"/>
            </w:pPr>
            <w:r w:rsidRPr="00124B9D">
              <w:t>—</w:t>
            </w:r>
          </w:p>
        </w:tc>
        <w:tc>
          <w:tcPr>
            <w:tcW w:w="810" w:type="dxa"/>
            <w:tcBorders>
              <w:top w:val="single" w:sz="18" w:space="0" w:color="595959" w:themeColor="text1" w:themeTint="A6"/>
              <w:right w:val="single" w:sz="18" w:space="0" w:color="595959" w:themeColor="text1" w:themeTint="A6"/>
            </w:tcBorders>
            <w:vAlign w:val="center"/>
          </w:tcPr>
          <w:p w14:paraId="2D7D7308" w14:textId="0B9A8F8C" w:rsidR="00CA06F3" w:rsidRPr="00124B9D" w:rsidRDefault="007574FB" w:rsidP="008E041F">
            <w:pPr>
              <w:pStyle w:val="TableText"/>
              <w:spacing w:before="20" w:after="20"/>
              <w:jc w:val="center"/>
            </w:pPr>
            <w:r w:rsidRPr="00124B9D">
              <w:t>—</w:t>
            </w:r>
          </w:p>
        </w:tc>
        <w:tc>
          <w:tcPr>
            <w:tcW w:w="810" w:type="dxa"/>
            <w:tcBorders>
              <w:top w:val="single" w:sz="18" w:space="0" w:color="595959" w:themeColor="text1" w:themeTint="A6"/>
              <w:left w:val="single" w:sz="18" w:space="0" w:color="595959" w:themeColor="text1" w:themeTint="A6"/>
            </w:tcBorders>
            <w:vAlign w:val="center"/>
          </w:tcPr>
          <w:p w14:paraId="40B2CDFA" w14:textId="5EA43716" w:rsidR="00CA06F3" w:rsidRPr="00124B9D" w:rsidRDefault="007574FB" w:rsidP="008E041F">
            <w:pPr>
              <w:pStyle w:val="TableText"/>
              <w:spacing w:before="20" w:after="20"/>
              <w:jc w:val="center"/>
            </w:pPr>
            <w:r w:rsidRPr="00124B9D">
              <w:t>—</w:t>
            </w:r>
          </w:p>
        </w:tc>
        <w:tc>
          <w:tcPr>
            <w:tcW w:w="810" w:type="dxa"/>
            <w:tcBorders>
              <w:top w:val="single" w:sz="18" w:space="0" w:color="595959" w:themeColor="text1" w:themeTint="A6"/>
            </w:tcBorders>
            <w:vAlign w:val="center"/>
          </w:tcPr>
          <w:p w14:paraId="2694C205" w14:textId="6BB60A2B" w:rsidR="00CA06F3" w:rsidRPr="00124B9D" w:rsidRDefault="007574FB" w:rsidP="008E041F">
            <w:pPr>
              <w:pStyle w:val="TableText"/>
              <w:spacing w:before="20" w:after="20"/>
              <w:jc w:val="center"/>
            </w:pPr>
            <w:r w:rsidRPr="00124B9D">
              <w:t>—</w:t>
            </w:r>
          </w:p>
        </w:tc>
        <w:tc>
          <w:tcPr>
            <w:tcW w:w="990" w:type="dxa"/>
            <w:tcBorders>
              <w:top w:val="single" w:sz="18" w:space="0" w:color="595959" w:themeColor="text1" w:themeTint="A6"/>
            </w:tcBorders>
            <w:vAlign w:val="center"/>
          </w:tcPr>
          <w:p w14:paraId="33E3F742" w14:textId="3D530571" w:rsidR="00CA06F3" w:rsidRPr="00124B9D" w:rsidRDefault="007574FB" w:rsidP="008E041F">
            <w:pPr>
              <w:pStyle w:val="TableText"/>
              <w:spacing w:before="20" w:after="20"/>
              <w:jc w:val="center"/>
            </w:pPr>
            <w:r w:rsidRPr="00124B9D">
              <w:t>—</w:t>
            </w:r>
          </w:p>
        </w:tc>
      </w:tr>
      <w:tr w:rsidR="00CA06F3" w:rsidRPr="00124B9D" w14:paraId="209804D7" w14:textId="77777777" w:rsidTr="00327F65">
        <w:trPr>
          <w:jc w:val="center"/>
        </w:trPr>
        <w:tc>
          <w:tcPr>
            <w:tcW w:w="1211" w:type="dxa"/>
            <w:vAlign w:val="center"/>
          </w:tcPr>
          <w:p w14:paraId="26843F38" w14:textId="2F1D1944" w:rsidR="00CA06F3" w:rsidRPr="00124B9D" w:rsidRDefault="00CA06F3" w:rsidP="008E041F">
            <w:pPr>
              <w:pStyle w:val="TableText"/>
              <w:spacing w:before="20" w:after="20"/>
              <w:jc w:val="center"/>
            </w:pPr>
            <w:r w:rsidRPr="00124B9D">
              <w:t>18</w:t>
            </w:r>
          </w:p>
        </w:tc>
        <w:tc>
          <w:tcPr>
            <w:tcW w:w="725" w:type="dxa"/>
            <w:tcBorders>
              <w:right w:val="single" w:sz="18" w:space="0" w:color="595959" w:themeColor="text1" w:themeTint="A6"/>
            </w:tcBorders>
            <w:vAlign w:val="center"/>
          </w:tcPr>
          <w:p w14:paraId="3A7A2109" w14:textId="33DB2D1D" w:rsidR="00CA06F3" w:rsidRPr="00124B9D" w:rsidRDefault="00CA06F3" w:rsidP="008E041F">
            <w:pPr>
              <w:pStyle w:val="TableText"/>
              <w:spacing w:before="20" w:after="20"/>
              <w:jc w:val="center"/>
            </w:pPr>
            <w:r w:rsidRPr="00124B9D">
              <w:t>1.77</w:t>
            </w:r>
          </w:p>
        </w:tc>
        <w:tc>
          <w:tcPr>
            <w:tcW w:w="854" w:type="dxa"/>
            <w:tcBorders>
              <w:left w:val="single" w:sz="18" w:space="0" w:color="595959" w:themeColor="text1" w:themeTint="A6"/>
            </w:tcBorders>
            <w:vAlign w:val="center"/>
          </w:tcPr>
          <w:p w14:paraId="7A521A00" w14:textId="54136ACA" w:rsidR="00CA06F3" w:rsidRPr="00124B9D" w:rsidRDefault="00CA06F3" w:rsidP="008E041F">
            <w:pPr>
              <w:pStyle w:val="TableText"/>
              <w:spacing w:before="20" w:after="20"/>
              <w:jc w:val="center"/>
            </w:pPr>
            <w:r w:rsidRPr="00124B9D">
              <w:t>23</w:t>
            </w:r>
          </w:p>
        </w:tc>
        <w:tc>
          <w:tcPr>
            <w:tcW w:w="810" w:type="dxa"/>
            <w:vAlign w:val="center"/>
          </w:tcPr>
          <w:p w14:paraId="3ABC79FF" w14:textId="2D58B463" w:rsidR="00CA06F3" w:rsidRPr="00124B9D" w:rsidRDefault="00CA06F3" w:rsidP="008E041F">
            <w:pPr>
              <w:pStyle w:val="TableText"/>
              <w:spacing w:before="20" w:after="20"/>
              <w:jc w:val="center"/>
            </w:pPr>
            <w:r w:rsidRPr="00124B9D">
              <w:t>14</w:t>
            </w:r>
          </w:p>
        </w:tc>
        <w:tc>
          <w:tcPr>
            <w:tcW w:w="900" w:type="dxa"/>
            <w:tcBorders>
              <w:right w:val="single" w:sz="18" w:space="0" w:color="595959" w:themeColor="text1" w:themeTint="A6"/>
            </w:tcBorders>
            <w:vAlign w:val="center"/>
          </w:tcPr>
          <w:p w14:paraId="6BA0F92F" w14:textId="597147D1" w:rsidR="00CA06F3" w:rsidRPr="00124B9D" w:rsidRDefault="00CA06F3" w:rsidP="008E041F">
            <w:pPr>
              <w:pStyle w:val="TableText"/>
              <w:spacing w:before="20" w:after="20"/>
              <w:jc w:val="center"/>
            </w:pPr>
            <w:r w:rsidRPr="00124B9D">
              <w:t>1.84</w:t>
            </w:r>
          </w:p>
        </w:tc>
        <w:tc>
          <w:tcPr>
            <w:tcW w:w="810" w:type="dxa"/>
            <w:tcBorders>
              <w:left w:val="single" w:sz="18" w:space="0" w:color="595959" w:themeColor="text1" w:themeTint="A6"/>
            </w:tcBorders>
            <w:vAlign w:val="center"/>
          </w:tcPr>
          <w:p w14:paraId="19848034" w14:textId="066A47B7" w:rsidR="00CA06F3" w:rsidRPr="00124B9D" w:rsidRDefault="00CA06F3" w:rsidP="008E041F">
            <w:pPr>
              <w:pStyle w:val="TableText"/>
              <w:spacing w:before="20" w:after="20"/>
              <w:jc w:val="center"/>
            </w:pPr>
            <w:r w:rsidRPr="00124B9D">
              <w:t>22</w:t>
            </w:r>
          </w:p>
        </w:tc>
        <w:tc>
          <w:tcPr>
            <w:tcW w:w="810" w:type="dxa"/>
            <w:vAlign w:val="center"/>
          </w:tcPr>
          <w:p w14:paraId="0B3715BF" w14:textId="6D2B93E4" w:rsidR="00CA06F3" w:rsidRPr="00124B9D" w:rsidRDefault="009A5C90" w:rsidP="008E041F">
            <w:pPr>
              <w:pStyle w:val="TableText"/>
              <w:spacing w:before="20" w:after="20"/>
              <w:jc w:val="center"/>
            </w:pPr>
            <w:r w:rsidRPr="00124B9D">
              <w:t xml:space="preserve">13 </w:t>
            </w:r>
            <w:r w:rsidRPr="00124B9D">
              <w:rPr>
                <w:vertAlign w:val="superscript"/>
              </w:rPr>
              <w:t>1</w:t>
            </w:r>
            <w:r w:rsidRPr="00124B9D">
              <w:t>/</w:t>
            </w:r>
            <w:r w:rsidRPr="00124B9D">
              <w:rPr>
                <w:vertAlign w:val="subscript"/>
              </w:rPr>
              <w:t>2</w:t>
            </w:r>
          </w:p>
        </w:tc>
        <w:tc>
          <w:tcPr>
            <w:tcW w:w="810" w:type="dxa"/>
            <w:tcBorders>
              <w:right w:val="single" w:sz="18" w:space="0" w:color="595959" w:themeColor="text1" w:themeTint="A6"/>
            </w:tcBorders>
            <w:vAlign w:val="center"/>
          </w:tcPr>
          <w:p w14:paraId="5B4A0578" w14:textId="21A8C882" w:rsidR="00CA06F3" w:rsidRPr="00124B9D" w:rsidRDefault="00AF4A1A" w:rsidP="008E041F">
            <w:pPr>
              <w:pStyle w:val="TableText"/>
              <w:spacing w:before="20" w:after="20"/>
              <w:jc w:val="center"/>
            </w:pPr>
            <w:r w:rsidRPr="00124B9D">
              <w:t>1.6</w:t>
            </w:r>
          </w:p>
        </w:tc>
        <w:tc>
          <w:tcPr>
            <w:tcW w:w="810" w:type="dxa"/>
            <w:tcBorders>
              <w:left w:val="single" w:sz="18" w:space="0" w:color="595959" w:themeColor="text1" w:themeTint="A6"/>
            </w:tcBorders>
            <w:vAlign w:val="center"/>
          </w:tcPr>
          <w:p w14:paraId="41C0B891" w14:textId="3060121E" w:rsidR="00CA06F3" w:rsidRPr="00124B9D" w:rsidRDefault="007574FB" w:rsidP="008E041F">
            <w:pPr>
              <w:pStyle w:val="TableText"/>
              <w:spacing w:before="20" w:after="20"/>
              <w:jc w:val="center"/>
            </w:pPr>
            <w:r w:rsidRPr="00124B9D">
              <w:t>—</w:t>
            </w:r>
          </w:p>
        </w:tc>
        <w:tc>
          <w:tcPr>
            <w:tcW w:w="810" w:type="dxa"/>
            <w:vAlign w:val="center"/>
          </w:tcPr>
          <w:p w14:paraId="197562B4" w14:textId="1DB01006" w:rsidR="00CA06F3" w:rsidRPr="00124B9D" w:rsidRDefault="007574FB" w:rsidP="008E041F">
            <w:pPr>
              <w:pStyle w:val="TableText"/>
              <w:spacing w:before="20" w:after="20"/>
              <w:jc w:val="center"/>
            </w:pPr>
            <w:r w:rsidRPr="00124B9D">
              <w:t>—</w:t>
            </w:r>
          </w:p>
        </w:tc>
        <w:tc>
          <w:tcPr>
            <w:tcW w:w="990" w:type="dxa"/>
            <w:vAlign w:val="center"/>
          </w:tcPr>
          <w:p w14:paraId="47584691" w14:textId="092F586E" w:rsidR="00CA06F3" w:rsidRPr="00124B9D" w:rsidRDefault="007574FB" w:rsidP="008E041F">
            <w:pPr>
              <w:pStyle w:val="TableText"/>
              <w:spacing w:before="20" w:after="20"/>
              <w:jc w:val="center"/>
            </w:pPr>
            <w:r w:rsidRPr="00124B9D">
              <w:t>—</w:t>
            </w:r>
          </w:p>
        </w:tc>
      </w:tr>
      <w:tr w:rsidR="00CA06F3" w:rsidRPr="00124B9D" w14:paraId="027C413E" w14:textId="77777777" w:rsidTr="00327F65">
        <w:trPr>
          <w:jc w:val="center"/>
        </w:trPr>
        <w:tc>
          <w:tcPr>
            <w:tcW w:w="1211" w:type="dxa"/>
            <w:vAlign w:val="center"/>
          </w:tcPr>
          <w:p w14:paraId="18073D7D" w14:textId="7B41CC15" w:rsidR="00CA06F3" w:rsidRPr="00124B9D" w:rsidRDefault="00CA06F3" w:rsidP="008E041F">
            <w:pPr>
              <w:pStyle w:val="TableText"/>
              <w:spacing w:before="20" w:after="20"/>
              <w:jc w:val="center"/>
            </w:pPr>
            <w:r w:rsidRPr="00124B9D">
              <w:t>21</w:t>
            </w:r>
          </w:p>
        </w:tc>
        <w:tc>
          <w:tcPr>
            <w:tcW w:w="725" w:type="dxa"/>
            <w:tcBorders>
              <w:right w:val="single" w:sz="18" w:space="0" w:color="595959" w:themeColor="text1" w:themeTint="A6"/>
            </w:tcBorders>
            <w:vAlign w:val="center"/>
          </w:tcPr>
          <w:p w14:paraId="68CE90D7" w14:textId="67F9EBCF" w:rsidR="00CA06F3" w:rsidRPr="00124B9D" w:rsidRDefault="00CA06F3" w:rsidP="008E041F">
            <w:pPr>
              <w:pStyle w:val="TableText"/>
              <w:spacing w:before="20" w:after="20"/>
              <w:jc w:val="center"/>
            </w:pPr>
            <w:r w:rsidRPr="00124B9D">
              <w:t>2.41</w:t>
            </w:r>
          </w:p>
        </w:tc>
        <w:tc>
          <w:tcPr>
            <w:tcW w:w="854" w:type="dxa"/>
            <w:tcBorders>
              <w:left w:val="single" w:sz="18" w:space="0" w:color="595959" w:themeColor="text1" w:themeTint="A6"/>
            </w:tcBorders>
            <w:vAlign w:val="center"/>
          </w:tcPr>
          <w:p w14:paraId="57977D4B" w14:textId="56AC2775" w:rsidR="00CA06F3" w:rsidRPr="00124B9D" w:rsidRDefault="007574FB" w:rsidP="008E041F">
            <w:pPr>
              <w:pStyle w:val="TableText"/>
              <w:spacing w:before="20" w:after="20"/>
              <w:jc w:val="center"/>
            </w:pPr>
            <w:r w:rsidRPr="00124B9D">
              <w:t>—</w:t>
            </w:r>
          </w:p>
        </w:tc>
        <w:tc>
          <w:tcPr>
            <w:tcW w:w="810" w:type="dxa"/>
            <w:vAlign w:val="center"/>
          </w:tcPr>
          <w:p w14:paraId="69AE8361" w14:textId="377FB0D0" w:rsidR="00CA06F3" w:rsidRPr="00124B9D" w:rsidRDefault="007574FB" w:rsidP="008E041F">
            <w:pPr>
              <w:pStyle w:val="TableText"/>
              <w:spacing w:before="20" w:after="20"/>
              <w:jc w:val="center"/>
            </w:pPr>
            <w:r w:rsidRPr="00124B9D">
              <w:t>—</w:t>
            </w:r>
          </w:p>
        </w:tc>
        <w:tc>
          <w:tcPr>
            <w:tcW w:w="900" w:type="dxa"/>
            <w:tcBorders>
              <w:right w:val="single" w:sz="18" w:space="0" w:color="595959" w:themeColor="text1" w:themeTint="A6"/>
            </w:tcBorders>
            <w:vAlign w:val="center"/>
          </w:tcPr>
          <w:p w14:paraId="66F317F9" w14:textId="2A068DBB" w:rsidR="00CA06F3" w:rsidRPr="00124B9D" w:rsidRDefault="007574FB" w:rsidP="008E041F">
            <w:pPr>
              <w:pStyle w:val="TableText"/>
              <w:spacing w:before="20" w:after="20"/>
              <w:jc w:val="center"/>
            </w:pPr>
            <w:r w:rsidRPr="00124B9D">
              <w:t>—</w:t>
            </w:r>
          </w:p>
        </w:tc>
        <w:tc>
          <w:tcPr>
            <w:tcW w:w="810" w:type="dxa"/>
            <w:tcBorders>
              <w:left w:val="single" w:sz="18" w:space="0" w:color="595959" w:themeColor="text1" w:themeTint="A6"/>
            </w:tcBorders>
            <w:vAlign w:val="center"/>
          </w:tcPr>
          <w:p w14:paraId="16EB8F57" w14:textId="10614C5E" w:rsidR="00CA06F3" w:rsidRPr="00124B9D" w:rsidRDefault="007574FB" w:rsidP="008E041F">
            <w:pPr>
              <w:pStyle w:val="TableText"/>
              <w:spacing w:before="20" w:after="20"/>
              <w:jc w:val="center"/>
            </w:pPr>
            <w:r w:rsidRPr="00124B9D">
              <w:t>—</w:t>
            </w:r>
          </w:p>
        </w:tc>
        <w:tc>
          <w:tcPr>
            <w:tcW w:w="810" w:type="dxa"/>
            <w:vAlign w:val="center"/>
          </w:tcPr>
          <w:p w14:paraId="65E6B4F3" w14:textId="529B43C8" w:rsidR="00CA06F3" w:rsidRPr="00124B9D" w:rsidRDefault="007574FB" w:rsidP="008E041F">
            <w:pPr>
              <w:pStyle w:val="TableText"/>
              <w:spacing w:before="20" w:after="20"/>
              <w:jc w:val="center"/>
            </w:pPr>
            <w:r w:rsidRPr="00124B9D">
              <w:t>—</w:t>
            </w:r>
          </w:p>
        </w:tc>
        <w:tc>
          <w:tcPr>
            <w:tcW w:w="810" w:type="dxa"/>
            <w:tcBorders>
              <w:right w:val="single" w:sz="18" w:space="0" w:color="595959" w:themeColor="text1" w:themeTint="A6"/>
            </w:tcBorders>
            <w:vAlign w:val="center"/>
          </w:tcPr>
          <w:p w14:paraId="5EB8BEE5" w14:textId="4D024CC6" w:rsidR="00CA06F3" w:rsidRPr="00124B9D" w:rsidRDefault="007574FB" w:rsidP="008E041F">
            <w:pPr>
              <w:pStyle w:val="TableText"/>
              <w:spacing w:before="20" w:after="20"/>
              <w:jc w:val="center"/>
            </w:pPr>
            <w:r w:rsidRPr="00124B9D">
              <w:t>—</w:t>
            </w:r>
          </w:p>
        </w:tc>
        <w:tc>
          <w:tcPr>
            <w:tcW w:w="810" w:type="dxa"/>
            <w:tcBorders>
              <w:left w:val="single" w:sz="18" w:space="0" w:color="595959" w:themeColor="text1" w:themeTint="A6"/>
            </w:tcBorders>
            <w:vAlign w:val="center"/>
          </w:tcPr>
          <w:p w14:paraId="70803141" w14:textId="10387DB2" w:rsidR="00CA06F3" w:rsidRPr="00124B9D" w:rsidRDefault="00AF4A1A" w:rsidP="008E041F">
            <w:pPr>
              <w:pStyle w:val="TableText"/>
              <w:spacing w:before="20" w:after="20"/>
              <w:jc w:val="center"/>
            </w:pPr>
            <w:r w:rsidRPr="00124B9D">
              <w:t>25</w:t>
            </w:r>
          </w:p>
        </w:tc>
        <w:tc>
          <w:tcPr>
            <w:tcW w:w="810" w:type="dxa"/>
            <w:vAlign w:val="center"/>
          </w:tcPr>
          <w:p w14:paraId="00EE7132" w14:textId="2C1609CE" w:rsidR="00CA06F3" w:rsidRPr="00124B9D" w:rsidRDefault="00AF4A1A" w:rsidP="008E041F">
            <w:pPr>
              <w:pStyle w:val="TableText"/>
              <w:spacing w:before="20" w:after="20"/>
              <w:jc w:val="center"/>
            </w:pPr>
            <w:r w:rsidRPr="00124B9D">
              <w:t>16</w:t>
            </w:r>
          </w:p>
        </w:tc>
        <w:tc>
          <w:tcPr>
            <w:tcW w:w="990" w:type="dxa"/>
            <w:vAlign w:val="center"/>
          </w:tcPr>
          <w:p w14:paraId="567931E7" w14:textId="309B3672" w:rsidR="00CA06F3" w:rsidRPr="00124B9D" w:rsidRDefault="00AF4A1A" w:rsidP="008E041F">
            <w:pPr>
              <w:pStyle w:val="TableText"/>
              <w:spacing w:before="20" w:after="20"/>
              <w:jc w:val="center"/>
            </w:pPr>
            <w:r w:rsidRPr="00124B9D">
              <w:t>2.16</w:t>
            </w:r>
          </w:p>
        </w:tc>
      </w:tr>
      <w:tr w:rsidR="00CA06F3" w:rsidRPr="00124B9D" w14:paraId="468E99C6" w14:textId="77777777" w:rsidTr="00327F65">
        <w:trPr>
          <w:jc w:val="center"/>
        </w:trPr>
        <w:tc>
          <w:tcPr>
            <w:tcW w:w="1211" w:type="dxa"/>
            <w:vAlign w:val="center"/>
          </w:tcPr>
          <w:p w14:paraId="73DF89B0" w14:textId="63C1DAA4" w:rsidR="00CA06F3" w:rsidRPr="00124B9D" w:rsidRDefault="00CA06F3" w:rsidP="008E041F">
            <w:pPr>
              <w:pStyle w:val="TableText"/>
              <w:spacing w:before="20" w:after="20"/>
              <w:jc w:val="center"/>
            </w:pPr>
            <w:r w:rsidRPr="00124B9D">
              <w:t>24</w:t>
            </w:r>
          </w:p>
        </w:tc>
        <w:tc>
          <w:tcPr>
            <w:tcW w:w="725" w:type="dxa"/>
            <w:tcBorders>
              <w:right w:val="single" w:sz="18" w:space="0" w:color="595959" w:themeColor="text1" w:themeTint="A6"/>
            </w:tcBorders>
            <w:vAlign w:val="center"/>
          </w:tcPr>
          <w:p w14:paraId="61B21E8C" w14:textId="6EB7834E" w:rsidR="00CA06F3" w:rsidRPr="00124B9D" w:rsidRDefault="00CA06F3" w:rsidP="008E041F">
            <w:pPr>
              <w:pStyle w:val="TableText"/>
              <w:spacing w:before="20" w:after="20"/>
              <w:jc w:val="center"/>
            </w:pPr>
            <w:r w:rsidRPr="00124B9D">
              <w:t>3.14</w:t>
            </w:r>
          </w:p>
        </w:tc>
        <w:tc>
          <w:tcPr>
            <w:tcW w:w="854" w:type="dxa"/>
            <w:tcBorders>
              <w:left w:val="single" w:sz="18" w:space="0" w:color="595959" w:themeColor="text1" w:themeTint="A6"/>
            </w:tcBorders>
            <w:vAlign w:val="center"/>
          </w:tcPr>
          <w:p w14:paraId="094ACA23" w14:textId="148E5391" w:rsidR="00CA06F3" w:rsidRPr="00124B9D" w:rsidRDefault="00CA06F3" w:rsidP="008E041F">
            <w:pPr>
              <w:pStyle w:val="TableText"/>
              <w:spacing w:before="20" w:after="20"/>
              <w:jc w:val="center"/>
            </w:pPr>
            <w:r w:rsidRPr="00124B9D">
              <w:t>30</w:t>
            </w:r>
          </w:p>
        </w:tc>
        <w:tc>
          <w:tcPr>
            <w:tcW w:w="810" w:type="dxa"/>
            <w:vAlign w:val="center"/>
          </w:tcPr>
          <w:p w14:paraId="15395C10" w14:textId="43B43681" w:rsidR="00CA06F3" w:rsidRPr="00124B9D" w:rsidRDefault="00CA06F3" w:rsidP="008E041F">
            <w:pPr>
              <w:pStyle w:val="TableText"/>
              <w:spacing w:before="20" w:after="20"/>
              <w:jc w:val="center"/>
            </w:pPr>
            <w:r w:rsidRPr="00124B9D">
              <w:t>19</w:t>
            </w:r>
          </w:p>
        </w:tc>
        <w:tc>
          <w:tcPr>
            <w:tcW w:w="900" w:type="dxa"/>
            <w:tcBorders>
              <w:right w:val="single" w:sz="18" w:space="0" w:color="595959" w:themeColor="text1" w:themeTint="A6"/>
            </w:tcBorders>
            <w:vAlign w:val="center"/>
          </w:tcPr>
          <w:p w14:paraId="548D7FE4" w14:textId="0240F1FB" w:rsidR="00CA06F3" w:rsidRPr="00124B9D" w:rsidRDefault="00CA06F3" w:rsidP="008E041F">
            <w:pPr>
              <w:pStyle w:val="TableText"/>
              <w:spacing w:before="20" w:after="20"/>
              <w:jc w:val="center"/>
            </w:pPr>
            <w:r w:rsidRPr="00124B9D">
              <w:t>3.28</w:t>
            </w:r>
          </w:p>
        </w:tc>
        <w:tc>
          <w:tcPr>
            <w:tcW w:w="810" w:type="dxa"/>
            <w:tcBorders>
              <w:left w:val="single" w:sz="18" w:space="0" w:color="595959" w:themeColor="text1" w:themeTint="A6"/>
            </w:tcBorders>
            <w:vAlign w:val="center"/>
          </w:tcPr>
          <w:p w14:paraId="537042DE" w14:textId="3CDDA6F2" w:rsidR="00CA06F3" w:rsidRPr="00124B9D" w:rsidRDefault="00CA06F3" w:rsidP="008E041F">
            <w:pPr>
              <w:pStyle w:val="TableText"/>
              <w:spacing w:before="20" w:after="20"/>
              <w:jc w:val="center"/>
            </w:pPr>
            <w:r w:rsidRPr="00124B9D">
              <w:t>28</w:t>
            </w:r>
            <w:r w:rsidR="00AF4A1A" w:rsidRPr="00124B9D">
              <w:t xml:space="preserve"> </w:t>
            </w:r>
            <w:r w:rsidR="00AF4A1A" w:rsidRPr="00124B9D">
              <w:rPr>
                <w:vertAlign w:val="superscript"/>
              </w:rPr>
              <w:t>1</w:t>
            </w:r>
            <w:r w:rsidR="00AF4A1A" w:rsidRPr="00124B9D">
              <w:t>/</w:t>
            </w:r>
            <w:r w:rsidR="00AF4A1A" w:rsidRPr="00124B9D">
              <w:rPr>
                <w:vertAlign w:val="subscript"/>
              </w:rPr>
              <w:t>2</w:t>
            </w:r>
          </w:p>
        </w:tc>
        <w:tc>
          <w:tcPr>
            <w:tcW w:w="810" w:type="dxa"/>
            <w:vAlign w:val="center"/>
          </w:tcPr>
          <w:p w14:paraId="14C20DDA" w14:textId="630A2358" w:rsidR="00CA06F3" w:rsidRPr="00124B9D" w:rsidRDefault="009A5C90" w:rsidP="008E041F">
            <w:pPr>
              <w:pStyle w:val="TableText"/>
              <w:spacing w:before="20" w:after="20"/>
              <w:jc w:val="center"/>
            </w:pPr>
            <w:r w:rsidRPr="00124B9D">
              <w:t>18</w:t>
            </w:r>
          </w:p>
        </w:tc>
        <w:tc>
          <w:tcPr>
            <w:tcW w:w="810" w:type="dxa"/>
            <w:tcBorders>
              <w:right w:val="single" w:sz="18" w:space="0" w:color="595959" w:themeColor="text1" w:themeTint="A6"/>
            </w:tcBorders>
            <w:vAlign w:val="center"/>
          </w:tcPr>
          <w:p w14:paraId="739A1772" w14:textId="1C228041" w:rsidR="00CA06F3" w:rsidRPr="00124B9D" w:rsidRDefault="00AF4A1A" w:rsidP="008E041F">
            <w:pPr>
              <w:pStyle w:val="TableText"/>
              <w:spacing w:before="20" w:after="20"/>
              <w:jc w:val="center"/>
            </w:pPr>
            <w:r w:rsidRPr="00124B9D">
              <w:t>2.8</w:t>
            </w:r>
          </w:p>
        </w:tc>
        <w:tc>
          <w:tcPr>
            <w:tcW w:w="810" w:type="dxa"/>
            <w:tcBorders>
              <w:left w:val="single" w:sz="18" w:space="0" w:color="595959" w:themeColor="text1" w:themeTint="A6"/>
            </w:tcBorders>
            <w:vAlign w:val="center"/>
          </w:tcPr>
          <w:p w14:paraId="7982538A" w14:textId="04E43483" w:rsidR="00CA06F3" w:rsidRPr="00124B9D" w:rsidRDefault="00AF4A1A" w:rsidP="008E041F">
            <w:pPr>
              <w:pStyle w:val="TableText"/>
              <w:spacing w:before="20" w:after="20"/>
              <w:jc w:val="center"/>
            </w:pPr>
            <w:r w:rsidRPr="00124B9D">
              <w:t>29</w:t>
            </w:r>
          </w:p>
        </w:tc>
        <w:tc>
          <w:tcPr>
            <w:tcW w:w="810" w:type="dxa"/>
            <w:vAlign w:val="center"/>
          </w:tcPr>
          <w:p w14:paraId="17CBE154" w14:textId="0BF23992" w:rsidR="00CA06F3" w:rsidRPr="00124B9D" w:rsidRDefault="00AF4A1A" w:rsidP="008E041F">
            <w:pPr>
              <w:pStyle w:val="TableText"/>
              <w:spacing w:before="20" w:after="20"/>
              <w:jc w:val="center"/>
            </w:pPr>
            <w:r w:rsidRPr="00124B9D">
              <w:t>18</w:t>
            </w:r>
          </w:p>
        </w:tc>
        <w:tc>
          <w:tcPr>
            <w:tcW w:w="990" w:type="dxa"/>
            <w:vAlign w:val="center"/>
          </w:tcPr>
          <w:p w14:paraId="0390014D" w14:textId="0E69299E" w:rsidR="00CA06F3" w:rsidRPr="00124B9D" w:rsidRDefault="00AF4A1A" w:rsidP="008E041F">
            <w:pPr>
              <w:pStyle w:val="TableText"/>
              <w:spacing w:before="20" w:after="20"/>
              <w:jc w:val="center"/>
            </w:pPr>
            <w:r w:rsidRPr="00124B9D">
              <w:t>2.83</w:t>
            </w:r>
          </w:p>
        </w:tc>
      </w:tr>
      <w:tr w:rsidR="00CA06F3" w:rsidRPr="00124B9D" w14:paraId="7C78C9A0" w14:textId="77777777" w:rsidTr="00327F65">
        <w:trPr>
          <w:jc w:val="center"/>
        </w:trPr>
        <w:tc>
          <w:tcPr>
            <w:tcW w:w="1211" w:type="dxa"/>
            <w:vAlign w:val="center"/>
          </w:tcPr>
          <w:p w14:paraId="02FE6F9F" w14:textId="207C15D8" w:rsidR="00CA06F3" w:rsidRPr="00124B9D" w:rsidRDefault="00CA06F3" w:rsidP="008E041F">
            <w:pPr>
              <w:pStyle w:val="TableText"/>
              <w:spacing w:before="20" w:after="20"/>
              <w:jc w:val="center"/>
            </w:pPr>
            <w:r w:rsidRPr="00124B9D">
              <w:t>27</w:t>
            </w:r>
          </w:p>
        </w:tc>
        <w:tc>
          <w:tcPr>
            <w:tcW w:w="725" w:type="dxa"/>
            <w:tcBorders>
              <w:right w:val="single" w:sz="18" w:space="0" w:color="595959" w:themeColor="text1" w:themeTint="A6"/>
            </w:tcBorders>
            <w:vAlign w:val="center"/>
          </w:tcPr>
          <w:p w14:paraId="760CCD1F" w14:textId="26A36647" w:rsidR="00CA06F3" w:rsidRPr="00124B9D" w:rsidRDefault="00CA06F3" w:rsidP="008E041F">
            <w:pPr>
              <w:pStyle w:val="TableText"/>
              <w:spacing w:before="20" w:after="20"/>
              <w:jc w:val="center"/>
            </w:pPr>
            <w:r w:rsidRPr="00124B9D">
              <w:t>3.98</w:t>
            </w:r>
          </w:p>
        </w:tc>
        <w:tc>
          <w:tcPr>
            <w:tcW w:w="854" w:type="dxa"/>
            <w:tcBorders>
              <w:left w:val="single" w:sz="18" w:space="0" w:color="595959" w:themeColor="text1" w:themeTint="A6"/>
            </w:tcBorders>
            <w:vAlign w:val="center"/>
          </w:tcPr>
          <w:p w14:paraId="64261E77" w14:textId="38EB93F3" w:rsidR="00CA06F3" w:rsidRPr="00124B9D" w:rsidRDefault="00CA06F3" w:rsidP="008E041F">
            <w:pPr>
              <w:pStyle w:val="TableText"/>
              <w:spacing w:before="20" w:after="20"/>
              <w:jc w:val="center"/>
            </w:pPr>
            <w:r w:rsidRPr="00124B9D">
              <w:t>34</w:t>
            </w:r>
          </w:p>
        </w:tc>
        <w:tc>
          <w:tcPr>
            <w:tcW w:w="810" w:type="dxa"/>
            <w:vAlign w:val="center"/>
          </w:tcPr>
          <w:p w14:paraId="256BA3E8" w14:textId="39037E58" w:rsidR="00CA06F3" w:rsidRPr="00124B9D" w:rsidRDefault="00CA06F3" w:rsidP="008E041F">
            <w:pPr>
              <w:pStyle w:val="TableText"/>
              <w:spacing w:before="20" w:after="20"/>
              <w:jc w:val="center"/>
            </w:pPr>
            <w:r w:rsidRPr="00124B9D">
              <w:t>22</w:t>
            </w:r>
          </w:p>
        </w:tc>
        <w:tc>
          <w:tcPr>
            <w:tcW w:w="900" w:type="dxa"/>
            <w:tcBorders>
              <w:right w:val="single" w:sz="18" w:space="0" w:color="595959" w:themeColor="text1" w:themeTint="A6"/>
            </w:tcBorders>
            <w:vAlign w:val="center"/>
          </w:tcPr>
          <w:p w14:paraId="2D7BCB9B" w14:textId="4B140277" w:rsidR="00CA06F3" w:rsidRPr="00124B9D" w:rsidRDefault="00CA06F3" w:rsidP="008E041F">
            <w:pPr>
              <w:pStyle w:val="TableText"/>
              <w:spacing w:before="20" w:after="20"/>
              <w:jc w:val="center"/>
            </w:pPr>
            <w:r w:rsidRPr="00124B9D">
              <w:t>4.14</w:t>
            </w:r>
          </w:p>
        </w:tc>
        <w:tc>
          <w:tcPr>
            <w:tcW w:w="810" w:type="dxa"/>
            <w:tcBorders>
              <w:left w:val="single" w:sz="18" w:space="0" w:color="595959" w:themeColor="text1" w:themeTint="A6"/>
            </w:tcBorders>
            <w:vAlign w:val="center"/>
          </w:tcPr>
          <w:p w14:paraId="013EC85D" w14:textId="29A86D2F" w:rsidR="00CA06F3" w:rsidRPr="00124B9D" w:rsidRDefault="007574FB" w:rsidP="008E041F">
            <w:pPr>
              <w:pStyle w:val="TableText"/>
              <w:spacing w:before="20" w:after="20"/>
              <w:jc w:val="center"/>
            </w:pPr>
            <w:r w:rsidRPr="00124B9D">
              <w:t>—</w:t>
            </w:r>
          </w:p>
        </w:tc>
        <w:tc>
          <w:tcPr>
            <w:tcW w:w="810" w:type="dxa"/>
            <w:vAlign w:val="center"/>
          </w:tcPr>
          <w:p w14:paraId="60993D19" w14:textId="435D69AF" w:rsidR="00CA06F3" w:rsidRPr="00124B9D" w:rsidRDefault="007574FB" w:rsidP="008E041F">
            <w:pPr>
              <w:pStyle w:val="TableText"/>
              <w:spacing w:before="20" w:after="20"/>
              <w:jc w:val="center"/>
            </w:pPr>
            <w:r w:rsidRPr="00124B9D">
              <w:t>—</w:t>
            </w:r>
          </w:p>
        </w:tc>
        <w:tc>
          <w:tcPr>
            <w:tcW w:w="810" w:type="dxa"/>
            <w:tcBorders>
              <w:right w:val="single" w:sz="18" w:space="0" w:color="595959" w:themeColor="text1" w:themeTint="A6"/>
            </w:tcBorders>
            <w:vAlign w:val="center"/>
          </w:tcPr>
          <w:p w14:paraId="71C9D374" w14:textId="7678D220" w:rsidR="00CA06F3" w:rsidRPr="00124B9D" w:rsidRDefault="007574FB" w:rsidP="008E041F">
            <w:pPr>
              <w:pStyle w:val="TableText"/>
              <w:spacing w:before="20" w:after="20"/>
              <w:jc w:val="center"/>
            </w:pPr>
            <w:r w:rsidRPr="00124B9D">
              <w:t>—</w:t>
            </w:r>
          </w:p>
        </w:tc>
        <w:tc>
          <w:tcPr>
            <w:tcW w:w="810" w:type="dxa"/>
            <w:tcBorders>
              <w:left w:val="single" w:sz="18" w:space="0" w:color="595959" w:themeColor="text1" w:themeTint="A6"/>
            </w:tcBorders>
            <w:vAlign w:val="center"/>
          </w:tcPr>
          <w:p w14:paraId="66C1F99B" w14:textId="7A44BC6A" w:rsidR="00CA06F3" w:rsidRPr="00124B9D" w:rsidRDefault="007574FB" w:rsidP="008E041F">
            <w:pPr>
              <w:pStyle w:val="TableText"/>
              <w:spacing w:before="20" w:after="20"/>
              <w:jc w:val="center"/>
            </w:pPr>
            <w:r w:rsidRPr="00124B9D">
              <w:t>—</w:t>
            </w:r>
          </w:p>
        </w:tc>
        <w:tc>
          <w:tcPr>
            <w:tcW w:w="810" w:type="dxa"/>
            <w:vAlign w:val="center"/>
          </w:tcPr>
          <w:p w14:paraId="3A91A1E0" w14:textId="412C6B7B" w:rsidR="00CA06F3" w:rsidRPr="00124B9D" w:rsidRDefault="007574FB" w:rsidP="008E041F">
            <w:pPr>
              <w:pStyle w:val="TableText"/>
              <w:spacing w:before="20" w:after="20"/>
              <w:jc w:val="center"/>
            </w:pPr>
            <w:r w:rsidRPr="00124B9D">
              <w:t>—</w:t>
            </w:r>
          </w:p>
        </w:tc>
        <w:tc>
          <w:tcPr>
            <w:tcW w:w="990" w:type="dxa"/>
            <w:vAlign w:val="center"/>
          </w:tcPr>
          <w:p w14:paraId="7FFBDDCC" w14:textId="67D61CC9" w:rsidR="00CA06F3" w:rsidRPr="00124B9D" w:rsidRDefault="007574FB" w:rsidP="008E041F">
            <w:pPr>
              <w:pStyle w:val="TableText"/>
              <w:spacing w:before="20" w:after="20"/>
              <w:jc w:val="center"/>
            </w:pPr>
            <w:r w:rsidRPr="00124B9D">
              <w:t>—</w:t>
            </w:r>
          </w:p>
        </w:tc>
      </w:tr>
      <w:tr w:rsidR="00CA06F3" w:rsidRPr="00124B9D" w14:paraId="18415ACF" w14:textId="77777777" w:rsidTr="00327F65">
        <w:trPr>
          <w:jc w:val="center"/>
        </w:trPr>
        <w:tc>
          <w:tcPr>
            <w:tcW w:w="1211" w:type="dxa"/>
            <w:vAlign w:val="center"/>
          </w:tcPr>
          <w:p w14:paraId="40DBFC55" w14:textId="73121EF0" w:rsidR="00CA06F3" w:rsidRPr="00124B9D" w:rsidRDefault="00CA06F3" w:rsidP="008E041F">
            <w:pPr>
              <w:pStyle w:val="TableText"/>
              <w:spacing w:before="20" w:after="20"/>
              <w:jc w:val="center"/>
            </w:pPr>
            <w:r w:rsidRPr="00124B9D">
              <w:t>30</w:t>
            </w:r>
          </w:p>
        </w:tc>
        <w:tc>
          <w:tcPr>
            <w:tcW w:w="725" w:type="dxa"/>
            <w:tcBorders>
              <w:right w:val="single" w:sz="18" w:space="0" w:color="595959" w:themeColor="text1" w:themeTint="A6"/>
            </w:tcBorders>
            <w:vAlign w:val="center"/>
          </w:tcPr>
          <w:p w14:paraId="526C106F" w14:textId="2213D2CD" w:rsidR="00CA06F3" w:rsidRPr="00124B9D" w:rsidRDefault="00CA06F3" w:rsidP="008E041F">
            <w:pPr>
              <w:pStyle w:val="TableText"/>
              <w:spacing w:before="20" w:after="20"/>
              <w:jc w:val="center"/>
            </w:pPr>
            <w:r w:rsidRPr="00124B9D">
              <w:t>4.91</w:t>
            </w:r>
          </w:p>
        </w:tc>
        <w:tc>
          <w:tcPr>
            <w:tcW w:w="854" w:type="dxa"/>
            <w:tcBorders>
              <w:left w:val="single" w:sz="18" w:space="0" w:color="595959" w:themeColor="text1" w:themeTint="A6"/>
            </w:tcBorders>
            <w:vAlign w:val="center"/>
          </w:tcPr>
          <w:p w14:paraId="16BF5E13" w14:textId="15671141" w:rsidR="00CA06F3" w:rsidRPr="00124B9D" w:rsidRDefault="00CA06F3" w:rsidP="008E041F">
            <w:pPr>
              <w:pStyle w:val="TableText"/>
              <w:spacing w:before="20" w:after="20"/>
              <w:jc w:val="center"/>
            </w:pPr>
            <w:r w:rsidRPr="00124B9D">
              <w:t>38</w:t>
            </w:r>
          </w:p>
        </w:tc>
        <w:tc>
          <w:tcPr>
            <w:tcW w:w="810" w:type="dxa"/>
            <w:vAlign w:val="center"/>
          </w:tcPr>
          <w:p w14:paraId="4688BA05" w14:textId="26DE365C" w:rsidR="00CA06F3" w:rsidRPr="00124B9D" w:rsidRDefault="00CA06F3" w:rsidP="008E041F">
            <w:pPr>
              <w:pStyle w:val="TableText"/>
              <w:spacing w:before="20" w:after="20"/>
              <w:jc w:val="center"/>
            </w:pPr>
            <w:r w:rsidRPr="00124B9D">
              <w:t>24</w:t>
            </w:r>
          </w:p>
        </w:tc>
        <w:tc>
          <w:tcPr>
            <w:tcW w:w="900" w:type="dxa"/>
            <w:tcBorders>
              <w:right w:val="single" w:sz="18" w:space="0" w:color="595959" w:themeColor="text1" w:themeTint="A6"/>
            </w:tcBorders>
            <w:vAlign w:val="center"/>
          </w:tcPr>
          <w:p w14:paraId="065537B9" w14:textId="3FE74B38" w:rsidR="00CA06F3" w:rsidRPr="00124B9D" w:rsidRDefault="00CA06F3" w:rsidP="008E041F">
            <w:pPr>
              <w:pStyle w:val="TableText"/>
              <w:spacing w:before="20" w:after="20"/>
              <w:jc w:val="center"/>
            </w:pPr>
            <w:r w:rsidRPr="00124B9D">
              <w:t>5.12</w:t>
            </w:r>
          </w:p>
        </w:tc>
        <w:tc>
          <w:tcPr>
            <w:tcW w:w="810" w:type="dxa"/>
            <w:tcBorders>
              <w:left w:val="single" w:sz="18" w:space="0" w:color="595959" w:themeColor="text1" w:themeTint="A6"/>
            </w:tcBorders>
            <w:vAlign w:val="center"/>
          </w:tcPr>
          <w:p w14:paraId="0E4768E3" w14:textId="334A64AD" w:rsidR="00CA06F3" w:rsidRPr="00124B9D" w:rsidRDefault="00CA06F3" w:rsidP="008E041F">
            <w:pPr>
              <w:pStyle w:val="TableText"/>
              <w:spacing w:before="20" w:after="20"/>
              <w:jc w:val="center"/>
            </w:pPr>
            <w:r w:rsidRPr="00124B9D">
              <w:t>36</w:t>
            </w:r>
            <w:r w:rsidR="00AF4A1A" w:rsidRPr="00124B9D">
              <w:t xml:space="preserve"> </w:t>
            </w:r>
            <w:r w:rsidR="00AF4A1A" w:rsidRPr="00124B9D">
              <w:rPr>
                <w:vertAlign w:val="superscript"/>
              </w:rPr>
              <w:t>1</w:t>
            </w:r>
            <w:r w:rsidR="00AF4A1A" w:rsidRPr="00124B9D">
              <w:t>/</w:t>
            </w:r>
            <w:r w:rsidR="00AF4A1A" w:rsidRPr="00124B9D">
              <w:rPr>
                <w:vertAlign w:val="subscript"/>
              </w:rPr>
              <w:t>4</w:t>
            </w:r>
          </w:p>
        </w:tc>
        <w:tc>
          <w:tcPr>
            <w:tcW w:w="810" w:type="dxa"/>
            <w:vAlign w:val="center"/>
          </w:tcPr>
          <w:p w14:paraId="648F742D" w14:textId="34D16288" w:rsidR="00CA06F3" w:rsidRPr="00124B9D" w:rsidRDefault="009A5C90" w:rsidP="008E041F">
            <w:pPr>
              <w:pStyle w:val="TableText"/>
              <w:spacing w:before="20" w:after="20"/>
              <w:jc w:val="center"/>
            </w:pPr>
            <w:r w:rsidRPr="00124B9D">
              <w:t>22</w:t>
            </w:r>
            <w:r w:rsidR="00AF4A1A" w:rsidRPr="00124B9D">
              <w:t xml:space="preserve"> </w:t>
            </w:r>
            <w:r w:rsidR="00AF4A1A" w:rsidRPr="00124B9D">
              <w:rPr>
                <w:vertAlign w:val="superscript"/>
              </w:rPr>
              <w:t>1</w:t>
            </w:r>
            <w:r w:rsidR="00AF4A1A" w:rsidRPr="00124B9D">
              <w:t>/</w:t>
            </w:r>
            <w:r w:rsidR="00AF4A1A" w:rsidRPr="00124B9D">
              <w:rPr>
                <w:vertAlign w:val="subscript"/>
              </w:rPr>
              <w:t>2</w:t>
            </w:r>
          </w:p>
        </w:tc>
        <w:tc>
          <w:tcPr>
            <w:tcW w:w="810" w:type="dxa"/>
            <w:tcBorders>
              <w:right w:val="single" w:sz="18" w:space="0" w:color="595959" w:themeColor="text1" w:themeTint="A6"/>
            </w:tcBorders>
            <w:vAlign w:val="center"/>
          </w:tcPr>
          <w:p w14:paraId="6E68C686" w14:textId="778556C3" w:rsidR="00CA06F3" w:rsidRPr="00124B9D" w:rsidRDefault="00AF4A1A" w:rsidP="008E041F">
            <w:pPr>
              <w:pStyle w:val="TableText"/>
              <w:spacing w:before="20" w:after="20"/>
              <w:jc w:val="center"/>
            </w:pPr>
            <w:r w:rsidRPr="00124B9D">
              <w:t>4.4</w:t>
            </w:r>
          </w:p>
        </w:tc>
        <w:tc>
          <w:tcPr>
            <w:tcW w:w="810" w:type="dxa"/>
            <w:tcBorders>
              <w:left w:val="single" w:sz="18" w:space="0" w:color="595959" w:themeColor="text1" w:themeTint="A6"/>
            </w:tcBorders>
            <w:vAlign w:val="center"/>
          </w:tcPr>
          <w:p w14:paraId="4494FD43" w14:textId="02EF1DC2" w:rsidR="00CA06F3" w:rsidRPr="00124B9D" w:rsidRDefault="00AF4A1A" w:rsidP="008E041F">
            <w:pPr>
              <w:pStyle w:val="TableText"/>
              <w:spacing w:before="20" w:after="20"/>
              <w:jc w:val="center"/>
            </w:pPr>
            <w:r w:rsidRPr="00124B9D">
              <w:t>36</w:t>
            </w:r>
          </w:p>
        </w:tc>
        <w:tc>
          <w:tcPr>
            <w:tcW w:w="810" w:type="dxa"/>
            <w:vAlign w:val="center"/>
          </w:tcPr>
          <w:p w14:paraId="22C4D37A" w14:textId="22507023" w:rsidR="00CA06F3" w:rsidRPr="00124B9D" w:rsidRDefault="00AF4A1A" w:rsidP="008E041F">
            <w:pPr>
              <w:pStyle w:val="TableText"/>
              <w:spacing w:before="20" w:after="20"/>
              <w:jc w:val="center"/>
            </w:pPr>
            <w:r w:rsidRPr="00124B9D">
              <w:t>22</w:t>
            </w:r>
          </w:p>
        </w:tc>
        <w:tc>
          <w:tcPr>
            <w:tcW w:w="990" w:type="dxa"/>
            <w:vAlign w:val="center"/>
          </w:tcPr>
          <w:p w14:paraId="73F1A484" w14:textId="27C9CC49" w:rsidR="00CA06F3" w:rsidRPr="00124B9D" w:rsidRDefault="00AF4A1A" w:rsidP="008E041F">
            <w:pPr>
              <w:pStyle w:val="TableText"/>
              <w:spacing w:before="20" w:after="20"/>
              <w:jc w:val="center"/>
            </w:pPr>
            <w:r w:rsidRPr="00124B9D">
              <w:t>4.42</w:t>
            </w:r>
          </w:p>
        </w:tc>
      </w:tr>
      <w:tr w:rsidR="00CA06F3" w:rsidRPr="00124B9D" w14:paraId="60A3298B" w14:textId="77777777" w:rsidTr="00327F65">
        <w:trPr>
          <w:jc w:val="center"/>
        </w:trPr>
        <w:tc>
          <w:tcPr>
            <w:tcW w:w="1211" w:type="dxa"/>
            <w:vAlign w:val="center"/>
          </w:tcPr>
          <w:p w14:paraId="1E457E9C" w14:textId="58C75B7D" w:rsidR="00CA06F3" w:rsidRPr="00124B9D" w:rsidRDefault="00CA06F3" w:rsidP="008E041F">
            <w:pPr>
              <w:pStyle w:val="TableText"/>
              <w:spacing w:before="20" w:after="20"/>
              <w:jc w:val="center"/>
            </w:pPr>
            <w:r w:rsidRPr="00124B9D">
              <w:t>33</w:t>
            </w:r>
          </w:p>
        </w:tc>
        <w:tc>
          <w:tcPr>
            <w:tcW w:w="725" w:type="dxa"/>
            <w:tcBorders>
              <w:right w:val="single" w:sz="18" w:space="0" w:color="595959" w:themeColor="text1" w:themeTint="A6"/>
            </w:tcBorders>
            <w:vAlign w:val="center"/>
          </w:tcPr>
          <w:p w14:paraId="6B16DE1E" w14:textId="367598D5" w:rsidR="00CA06F3" w:rsidRPr="00124B9D" w:rsidRDefault="00CA06F3" w:rsidP="008E041F">
            <w:pPr>
              <w:pStyle w:val="TableText"/>
              <w:spacing w:before="20" w:after="20"/>
              <w:jc w:val="center"/>
            </w:pPr>
            <w:r w:rsidRPr="00124B9D">
              <w:t>5.94</w:t>
            </w:r>
          </w:p>
        </w:tc>
        <w:tc>
          <w:tcPr>
            <w:tcW w:w="854" w:type="dxa"/>
            <w:tcBorders>
              <w:left w:val="single" w:sz="18" w:space="0" w:color="595959" w:themeColor="text1" w:themeTint="A6"/>
            </w:tcBorders>
            <w:vAlign w:val="center"/>
          </w:tcPr>
          <w:p w14:paraId="67540E9F" w14:textId="5DACF08C" w:rsidR="00CA06F3" w:rsidRPr="00124B9D" w:rsidRDefault="00CA06F3" w:rsidP="008E041F">
            <w:pPr>
              <w:pStyle w:val="TableText"/>
              <w:spacing w:before="20" w:after="20"/>
              <w:jc w:val="center"/>
            </w:pPr>
            <w:r w:rsidRPr="00124B9D">
              <w:t>42</w:t>
            </w:r>
          </w:p>
        </w:tc>
        <w:tc>
          <w:tcPr>
            <w:tcW w:w="810" w:type="dxa"/>
            <w:vAlign w:val="center"/>
          </w:tcPr>
          <w:p w14:paraId="1EC1CEFE" w14:textId="43F63CE4" w:rsidR="00CA06F3" w:rsidRPr="00124B9D" w:rsidRDefault="00CA06F3" w:rsidP="008E041F">
            <w:pPr>
              <w:pStyle w:val="TableText"/>
              <w:spacing w:before="20" w:after="20"/>
              <w:jc w:val="center"/>
            </w:pPr>
            <w:r w:rsidRPr="00124B9D">
              <w:t>27</w:t>
            </w:r>
          </w:p>
        </w:tc>
        <w:tc>
          <w:tcPr>
            <w:tcW w:w="900" w:type="dxa"/>
            <w:tcBorders>
              <w:right w:val="single" w:sz="18" w:space="0" w:color="595959" w:themeColor="text1" w:themeTint="A6"/>
            </w:tcBorders>
            <w:vAlign w:val="center"/>
          </w:tcPr>
          <w:p w14:paraId="0C2EA8F7" w14:textId="4F198209" w:rsidR="00CA06F3" w:rsidRPr="00124B9D" w:rsidRDefault="00CA06F3" w:rsidP="008E041F">
            <w:pPr>
              <w:pStyle w:val="TableText"/>
              <w:spacing w:before="20" w:after="20"/>
              <w:jc w:val="center"/>
            </w:pPr>
            <w:r w:rsidRPr="00124B9D">
              <w:t>6.31</w:t>
            </w:r>
          </w:p>
        </w:tc>
        <w:tc>
          <w:tcPr>
            <w:tcW w:w="810" w:type="dxa"/>
            <w:tcBorders>
              <w:left w:val="single" w:sz="18" w:space="0" w:color="595959" w:themeColor="text1" w:themeTint="A6"/>
            </w:tcBorders>
            <w:vAlign w:val="center"/>
          </w:tcPr>
          <w:p w14:paraId="7514B22A" w14:textId="5D9A8175" w:rsidR="00CA06F3" w:rsidRPr="00124B9D" w:rsidRDefault="007574FB" w:rsidP="008E041F">
            <w:pPr>
              <w:pStyle w:val="TableText"/>
              <w:spacing w:before="20" w:after="20"/>
              <w:jc w:val="center"/>
            </w:pPr>
            <w:r w:rsidRPr="00124B9D">
              <w:t>—</w:t>
            </w:r>
          </w:p>
        </w:tc>
        <w:tc>
          <w:tcPr>
            <w:tcW w:w="810" w:type="dxa"/>
            <w:vAlign w:val="center"/>
          </w:tcPr>
          <w:p w14:paraId="3603FC6E" w14:textId="4672822F" w:rsidR="00CA06F3" w:rsidRPr="00124B9D" w:rsidRDefault="007574FB" w:rsidP="008E041F">
            <w:pPr>
              <w:pStyle w:val="TableText"/>
              <w:spacing w:before="20" w:after="20"/>
              <w:jc w:val="center"/>
            </w:pPr>
            <w:r w:rsidRPr="00124B9D">
              <w:t>—</w:t>
            </w:r>
          </w:p>
        </w:tc>
        <w:tc>
          <w:tcPr>
            <w:tcW w:w="810" w:type="dxa"/>
            <w:tcBorders>
              <w:right w:val="single" w:sz="18" w:space="0" w:color="595959" w:themeColor="text1" w:themeTint="A6"/>
            </w:tcBorders>
            <w:vAlign w:val="center"/>
          </w:tcPr>
          <w:p w14:paraId="51F7D583" w14:textId="3CD62C2C" w:rsidR="00CA06F3" w:rsidRPr="00124B9D" w:rsidRDefault="007574FB" w:rsidP="008E041F">
            <w:pPr>
              <w:pStyle w:val="TableText"/>
              <w:spacing w:before="20" w:after="20"/>
              <w:jc w:val="center"/>
            </w:pPr>
            <w:r w:rsidRPr="00124B9D">
              <w:t>—</w:t>
            </w:r>
          </w:p>
        </w:tc>
        <w:tc>
          <w:tcPr>
            <w:tcW w:w="810" w:type="dxa"/>
            <w:tcBorders>
              <w:left w:val="single" w:sz="18" w:space="0" w:color="595959" w:themeColor="text1" w:themeTint="A6"/>
            </w:tcBorders>
            <w:vAlign w:val="center"/>
          </w:tcPr>
          <w:p w14:paraId="2BC6DC5B" w14:textId="0A0330B3" w:rsidR="00CA06F3" w:rsidRPr="00124B9D" w:rsidRDefault="007574FB" w:rsidP="008E041F">
            <w:pPr>
              <w:pStyle w:val="TableText"/>
              <w:spacing w:before="20" w:after="20"/>
              <w:jc w:val="center"/>
            </w:pPr>
            <w:r w:rsidRPr="00124B9D">
              <w:t>—</w:t>
            </w:r>
          </w:p>
        </w:tc>
        <w:tc>
          <w:tcPr>
            <w:tcW w:w="810" w:type="dxa"/>
            <w:vAlign w:val="center"/>
          </w:tcPr>
          <w:p w14:paraId="070059C4" w14:textId="5DF73D08" w:rsidR="00CA06F3" w:rsidRPr="00124B9D" w:rsidRDefault="007574FB" w:rsidP="008E041F">
            <w:pPr>
              <w:pStyle w:val="TableText"/>
              <w:spacing w:before="20" w:after="20"/>
              <w:jc w:val="center"/>
            </w:pPr>
            <w:r w:rsidRPr="00124B9D">
              <w:t>—</w:t>
            </w:r>
          </w:p>
        </w:tc>
        <w:tc>
          <w:tcPr>
            <w:tcW w:w="990" w:type="dxa"/>
            <w:vAlign w:val="center"/>
          </w:tcPr>
          <w:p w14:paraId="33806B5A" w14:textId="5B8EFFE1" w:rsidR="00CA06F3" w:rsidRPr="00124B9D" w:rsidRDefault="007574FB" w:rsidP="008E041F">
            <w:pPr>
              <w:pStyle w:val="TableText"/>
              <w:spacing w:before="20" w:after="20"/>
              <w:jc w:val="center"/>
            </w:pPr>
            <w:r w:rsidRPr="00124B9D">
              <w:t>—</w:t>
            </w:r>
          </w:p>
        </w:tc>
      </w:tr>
      <w:tr w:rsidR="00CA06F3" w:rsidRPr="00124B9D" w14:paraId="5F1C8609" w14:textId="77777777" w:rsidTr="00327F65">
        <w:trPr>
          <w:jc w:val="center"/>
        </w:trPr>
        <w:tc>
          <w:tcPr>
            <w:tcW w:w="1211" w:type="dxa"/>
            <w:vAlign w:val="center"/>
          </w:tcPr>
          <w:p w14:paraId="6E7DAF22" w14:textId="7079795B" w:rsidR="00CA06F3" w:rsidRPr="00124B9D" w:rsidRDefault="00CA06F3" w:rsidP="008E041F">
            <w:pPr>
              <w:pStyle w:val="TableText"/>
              <w:spacing w:before="20" w:after="20"/>
              <w:jc w:val="center"/>
            </w:pPr>
            <w:r w:rsidRPr="00124B9D">
              <w:t>36</w:t>
            </w:r>
          </w:p>
        </w:tc>
        <w:tc>
          <w:tcPr>
            <w:tcW w:w="725" w:type="dxa"/>
            <w:tcBorders>
              <w:right w:val="single" w:sz="18" w:space="0" w:color="595959" w:themeColor="text1" w:themeTint="A6"/>
            </w:tcBorders>
            <w:vAlign w:val="center"/>
          </w:tcPr>
          <w:p w14:paraId="66B48BEF" w14:textId="04EEE9A0" w:rsidR="00CA06F3" w:rsidRPr="00124B9D" w:rsidRDefault="00CA06F3" w:rsidP="008E041F">
            <w:pPr>
              <w:pStyle w:val="TableText"/>
              <w:spacing w:before="20" w:after="20"/>
              <w:jc w:val="center"/>
            </w:pPr>
            <w:r w:rsidRPr="00124B9D">
              <w:t>7.07</w:t>
            </w:r>
          </w:p>
        </w:tc>
        <w:tc>
          <w:tcPr>
            <w:tcW w:w="854" w:type="dxa"/>
            <w:tcBorders>
              <w:left w:val="single" w:sz="18" w:space="0" w:color="595959" w:themeColor="text1" w:themeTint="A6"/>
            </w:tcBorders>
            <w:vAlign w:val="center"/>
          </w:tcPr>
          <w:p w14:paraId="37692EE9" w14:textId="4AA201FE" w:rsidR="00CA06F3" w:rsidRPr="00124B9D" w:rsidRDefault="00CA06F3" w:rsidP="008E041F">
            <w:pPr>
              <w:pStyle w:val="TableText"/>
              <w:spacing w:before="20" w:after="20"/>
              <w:jc w:val="center"/>
            </w:pPr>
            <w:r w:rsidRPr="00124B9D">
              <w:t>45</w:t>
            </w:r>
          </w:p>
        </w:tc>
        <w:tc>
          <w:tcPr>
            <w:tcW w:w="810" w:type="dxa"/>
            <w:vAlign w:val="center"/>
          </w:tcPr>
          <w:p w14:paraId="59396760" w14:textId="61AA73D3" w:rsidR="00CA06F3" w:rsidRPr="00124B9D" w:rsidRDefault="00CA06F3" w:rsidP="008E041F">
            <w:pPr>
              <w:pStyle w:val="TableText"/>
              <w:spacing w:before="20" w:after="20"/>
              <w:jc w:val="center"/>
            </w:pPr>
            <w:r w:rsidRPr="00124B9D">
              <w:t>29</w:t>
            </w:r>
          </w:p>
        </w:tc>
        <w:tc>
          <w:tcPr>
            <w:tcW w:w="900" w:type="dxa"/>
            <w:tcBorders>
              <w:right w:val="single" w:sz="18" w:space="0" w:color="595959" w:themeColor="text1" w:themeTint="A6"/>
            </w:tcBorders>
            <w:vAlign w:val="center"/>
          </w:tcPr>
          <w:p w14:paraId="0A3FB9B3" w14:textId="1A1AD650" w:rsidR="00CA06F3" w:rsidRPr="00124B9D" w:rsidRDefault="00CA06F3" w:rsidP="008E041F">
            <w:pPr>
              <w:pStyle w:val="TableText"/>
              <w:spacing w:before="20" w:after="20"/>
              <w:jc w:val="center"/>
            </w:pPr>
            <w:r w:rsidRPr="00124B9D">
              <w:t>7.37</w:t>
            </w:r>
          </w:p>
        </w:tc>
        <w:tc>
          <w:tcPr>
            <w:tcW w:w="810" w:type="dxa"/>
            <w:tcBorders>
              <w:left w:val="single" w:sz="18" w:space="0" w:color="595959" w:themeColor="text1" w:themeTint="A6"/>
            </w:tcBorders>
            <w:vAlign w:val="center"/>
          </w:tcPr>
          <w:p w14:paraId="49C3CA1D" w14:textId="5BBB6668" w:rsidR="00CA06F3" w:rsidRPr="00124B9D" w:rsidRDefault="00CA06F3" w:rsidP="008E041F">
            <w:pPr>
              <w:pStyle w:val="TableText"/>
              <w:spacing w:before="20" w:after="20"/>
              <w:jc w:val="center"/>
            </w:pPr>
            <w:r w:rsidRPr="00124B9D">
              <w:t>43</w:t>
            </w:r>
            <w:r w:rsidR="00AF4A1A" w:rsidRPr="00124B9D">
              <w:t xml:space="preserve"> </w:t>
            </w:r>
            <w:r w:rsidR="00AF4A1A" w:rsidRPr="00124B9D">
              <w:rPr>
                <w:vertAlign w:val="superscript"/>
              </w:rPr>
              <w:t>3</w:t>
            </w:r>
            <w:r w:rsidR="00AF4A1A" w:rsidRPr="00124B9D">
              <w:t>/</w:t>
            </w:r>
            <w:r w:rsidR="00AF4A1A" w:rsidRPr="00124B9D">
              <w:rPr>
                <w:vertAlign w:val="subscript"/>
              </w:rPr>
              <w:t>4</w:t>
            </w:r>
          </w:p>
        </w:tc>
        <w:tc>
          <w:tcPr>
            <w:tcW w:w="810" w:type="dxa"/>
            <w:vAlign w:val="center"/>
          </w:tcPr>
          <w:p w14:paraId="772D9C50" w14:textId="4D8FAD23" w:rsidR="00CA06F3" w:rsidRPr="00124B9D" w:rsidRDefault="00AF4A1A" w:rsidP="008E041F">
            <w:pPr>
              <w:pStyle w:val="TableText"/>
              <w:spacing w:before="20" w:after="20"/>
              <w:jc w:val="center"/>
            </w:pPr>
            <w:r w:rsidRPr="00124B9D">
              <w:t xml:space="preserve">26 </w:t>
            </w:r>
            <w:r w:rsidRPr="00124B9D">
              <w:rPr>
                <w:vertAlign w:val="superscript"/>
              </w:rPr>
              <w:t>5</w:t>
            </w:r>
            <w:r w:rsidRPr="00124B9D">
              <w:t>/</w:t>
            </w:r>
            <w:r w:rsidRPr="00124B9D">
              <w:rPr>
                <w:vertAlign w:val="subscript"/>
              </w:rPr>
              <w:t>8</w:t>
            </w:r>
          </w:p>
        </w:tc>
        <w:tc>
          <w:tcPr>
            <w:tcW w:w="810" w:type="dxa"/>
            <w:tcBorders>
              <w:right w:val="single" w:sz="18" w:space="0" w:color="595959" w:themeColor="text1" w:themeTint="A6"/>
            </w:tcBorders>
            <w:vAlign w:val="center"/>
          </w:tcPr>
          <w:p w14:paraId="2BD2AAD7" w14:textId="2C39BFA3" w:rsidR="00CA06F3" w:rsidRPr="00124B9D" w:rsidRDefault="00AF4A1A" w:rsidP="008E041F">
            <w:pPr>
              <w:pStyle w:val="TableText"/>
              <w:spacing w:before="20" w:after="20"/>
              <w:jc w:val="center"/>
            </w:pPr>
            <w:r w:rsidRPr="00124B9D">
              <w:t>6.4</w:t>
            </w:r>
          </w:p>
        </w:tc>
        <w:tc>
          <w:tcPr>
            <w:tcW w:w="810" w:type="dxa"/>
            <w:tcBorders>
              <w:left w:val="single" w:sz="18" w:space="0" w:color="595959" w:themeColor="text1" w:themeTint="A6"/>
            </w:tcBorders>
            <w:vAlign w:val="center"/>
          </w:tcPr>
          <w:p w14:paraId="4BF0C4A9" w14:textId="4E42B40E" w:rsidR="00CA06F3" w:rsidRPr="00124B9D" w:rsidRDefault="00AF4A1A" w:rsidP="008E041F">
            <w:pPr>
              <w:pStyle w:val="TableText"/>
              <w:spacing w:before="20" w:after="20"/>
              <w:jc w:val="center"/>
            </w:pPr>
            <w:r w:rsidRPr="00124B9D">
              <w:t>43</w:t>
            </w:r>
          </w:p>
        </w:tc>
        <w:tc>
          <w:tcPr>
            <w:tcW w:w="810" w:type="dxa"/>
            <w:vAlign w:val="center"/>
          </w:tcPr>
          <w:p w14:paraId="6EB556F7" w14:textId="17C4F65D" w:rsidR="00CA06F3" w:rsidRPr="00124B9D" w:rsidRDefault="00AF4A1A" w:rsidP="008E041F">
            <w:pPr>
              <w:pStyle w:val="TableText"/>
              <w:spacing w:before="20" w:after="20"/>
              <w:jc w:val="center"/>
            </w:pPr>
            <w:r w:rsidRPr="00124B9D">
              <w:t>27</w:t>
            </w:r>
          </w:p>
        </w:tc>
        <w:tc>
          <w:tcPr>
            <w:tcW w:w="990" w:type="dxa"/>
            <w:vAlign w:val="center"/>
          </w:tcPr>
          <w:p w14:paraId="3DD63E30" w14:textId="438DB397" w:rsidR="00CA06F3" w:rsidRPr="00124B9D" w:rsidRDefault="00AF4A1A" w:rsidP="008E041F">
            <w:pPr>
              <w:pStyle w:val="TableText"/>
              <w:spacing w:before="20" w:after="20"/>
              <w:jc w:val="center"/>
            </w:pPr>
            <w:r w:rsidRPr="00124B9D">
              <w:t>6.36</w:t>
            </w:r>
          </w:p>
        </w:tc>
      </w:tr>
      <w:tr w:rsidR="00CA06F3" w:rsidRPr="00124B9D" w14:paraId="6887C5BE" w14:textId="77777777" w:rsidTr="00327F65">
        <w:trPr>
          <w:jc w:val="center"/>
        </w:trPr>
        <w:tc>
          <w:tcPr>
            <w:tcW w:w="1211" w:type="dxa"/>
            <w:vAlign w:val="center"/>
          </w:tcPr>
          <w:p w14:paraId="2FF67A08" w14:textId="2980788F" w:rsidR="00CA06F3" w:rsidRPr="00124B9D" w:rsidRDefault="00CA06F3" w:rsidP="008E041F">
            <w:pPr>
              <w:pStyle w:val="TableText"/>
              <w:spacing w:before="20" w:after="20"/>
              <w:jc w:val="center"/>
            </w:pPr>
            <w:r w:rsidRPr="00124B9D">
              <w:t>42</w:t>
            </w:r>
          </w:p>
        </w:tc>
        <w:tc>
          <w:tcPr>
            <w:tcW w:w="725" w:type="dxa"/>
            <w:tcBorders>
              <w:right w:val="single" w:sz="18" w:space="0" w:color="595959" w:themeColor="text1" w:themeTint="A6"/>
            </w:tcBorders>
            <w:vAlign w:val="center"/>
          </w:tcPr>
          <w:p w14:paraId="1DB44113" w14:textId="3D29ECFF" w:rsidR="00CA06F3" w:rsidRPr="00124B9D" w:rsidRDefault="00CA06F3" w:rsidP="008E041F">
            <w:pPr>
              <w:pStyle w:val="TableText"/>
              <w:spacing w:before="20" w:after="20"/>
              <w:jc w:val="center"/>
            </w:pPr>
            <w:r w:rsidRPr="00124B9D">
              <w:t>9.62</w:t>
            </w:r>
          </w:p>
        </w:tc>
        <w:tc>
          <w:tcPr>
            <w:tcW w:w="854" w:type="dxa"/>
            <w:tcBorders>
              <w:left w:val="single" w:sz="18" w:space="0" w:color="595959" w:themeColor="text1" w:themeTint="A6"/>
            </w:tcBorders>
            <w:vAlign w:val="center"/>
          </w:tcPr>
          <w:p w14:paraId="27314A46" w14:textId="0163B0DF" w:rsidR="00CA06F3" w:rsidRPr="00124B9D" w:rsidRDefault="00CA06F3" w:rsidP="008E041F">
            <w:pPr>
              <w:pStyle w:val="TableText"/>
              <w:spacing w:before="20" w:after="20"/>
              <w:jc w:val="center"/>
            </w:pPr>
            <w:r w:rsidRPr="00124B9D">
              <w:t>53</w:t>
            </w:r>
          </w:p>
        </w:tc>
        <w:tc>
          <w:tcPr>
            <w:tcW w:w="810" w:type="dxa"/>
            <w:vAlign w:val="center"/>
          </w:tcPr>
          <w:p w14:paraId="28FB2723" w14:textId="690BBCD6" w:rsidR="00CA06F3" w:rsidRPr="00124B9D" w:rsidRDefault="00CA06F3" w:rsidP="008E041F">
            <w:pPr>
              <w:pStyle w:val="TableText"/>
              <w:spacing w:before="20" w:after="20"/>
              <w:jc w:val="center"/>
            </w:pPr>
            <w:r w:rsidRPr="00124B9D">
              <w:t>34</w:t>
            </w:r>
          </w:p>
        </w:tc>
        <w:tc>
          <w:tcPr>
            <w:tcW w:w="900" w:type="dxa"/>
            <w:tcBorders>
              <w:right w:val="single" w:sz="18" w:space="0" w:color="595959" w:themeColor="text1" w:themeTint="A6"/>
            </w:tcBorders>
            <w:vAlign w:val="center"/>
          </w:tcPr>
          <w:p w14:paraId="46193D09" w14:textId="018CF350" w:rsidR="00CA06F3" w:rsidRPr="00124B9D" w:rsidRDefault="00CA06F3" w:rsidP="008E041F">
            <w:pPr>
              <w:pStyle w:val="TableText"/>
              <w:spacing w:before="20" w:after="20"/>
              <w:jc w:val="center"/>
            </w:pPr>
            <w:r w:rsidRPr="00124B9D">
              <w:t>10.21</w:t>
            </w:r>
          </w:p>
        </w:tc>
        <w:tc>
          <w:tcPr>
            <w:tcW w:w="810" w:type="dxa"/>
            <w:tcBorders>
              <w:left w:val="single" w:sz="18" w:space="0" w:color="595959" w:themeColor="text1" w:themeTint="A6"/>
            </w:tcBorders>
            <w:vAlign w:val="center"/>
          </w:tcPr>
          <w:p w14:paraId="51475B82" w14:textId="49376727" w:rsidR="00CA06F3" w:rsidRPr="00124B9D" w:rsidRDefault="00CA06F3" w:rsidP="008E041F">
            <w:pPr>
              <w:pStyle w:val="TableText"/>
              <w:spacing w:before="20" w:after="20"/>
              <w:jc w:val="center"/>
            </w:pPr>
            <w:r w:rsidRPr="00124B9D">
              <w:t>51</w:t>
            </w:r>
            <w:r w:rsidR="00AF4A1A" w:rsidRPr="00124B9D">
              <w:t xml:space="preserve"> </w:t>
            </w:r>
            <w:r w:rsidR="00AF4A1A" w:rsidRPr="00124B9D">
              <w:rPr>
                <w:vertAlign w:val="superscript"/>
              </w:rPr>
              <w:t>1</w:t>
            </w:r>
            <w:r w:rsidR="00AF4A1A" w:rsidRPr="00124B9D">
              <w:t>/</w:t>
            </w:r>
            <w:r w:rsidR="00AF4A1A" w:rsidRPr="00124B9D">
              <w:rPr>
                <w:vertAlign w:val="subscript"/>
              </w:rPr>
              <w:t>8</w:t>
            </w:r>
          </w:p>
        </w:tc>
        <w:tc>
          <w:tcPr>
            <w:tcW w:w="810" w:type="dxa"/>
            <w:vAlign w:val="center"/>
          </w:tcPr>
          <w:p w14:paraId="398E70E1" w14:textId="0989D7FC" w:rsidR="00CA06F3" w:rsidRPr="00124B9D" w:rsidRDefault="00AF4A1A" w:rsidP="008E041F">
            <w:pPr>
              <w:pStyle w:val="TableText"/>
              <w:spacing w:before="20" w:after="20"/>
              <w:jc w:val="center"/>
            </w:pPr>
            <w:r w:rsidRPr="00124B9D">
              <w:t xml:space="preserve">31 </w:t>
            </w:r>
            <w:r w:rsidRPr="00124B9D">
              <w:rPr>
                <w:vertAlign w:val="superscript"/>
              </w:rPr>
              <w:t>5</w:t>
            </w:r>
            <w:r w:rsidRPr="00124B9D">
              <w:t>/</w:t>
            </w:r>
            <w:r w:rsidRPr="00124B9D">
              <w:rPr>
                <w:vertAlign w:val="subscript"/>
              </w:rPr>
              <w:t>16</w:t>
            </w:r>
          </w:p>
        </w:tc>
        <w:tc>
          <w:tcPr>
            <w:tcW w:w="810" w:type="dxa"/>
            <w:tcBorders>
              <w:right w:val="single" w:sz="18" w:space="0" w:color="595959" w:themeColor="text1" w:themeTint="A6"/>
            </w:tcBorders>
            <w:vAlign w:val="center"/>
          </w:tcPr>
          <w:p w14:paraId="288D3BBC" w14:textId="6A4535D8" w:rsidR="00CA06F3" w:rsidRPr="00124B9D" w:rsidRDefault="00AF4A1A" w:rsidP="008E041F">
            <w:pPr>
              <w:pStyle w:val="TableText"/>
              <w:spacing w:before="20" w:after="20"/>
              <w:jc w:val="center"/>
            </w:pPr>
            <w:r w:rsidRPr="00124B9D">
              <w:t>8.8</w:t>
            </w:r>
          </w:p>
        </w:tc>
        <w:tc>
          <w:tcPr>
            <w:tcW w:w="810" w:type="dxa"/>
            <w:tcBorders>
              <w:left w:val="single" w:sz="18" w:space="0" w:color="595959" w:themeColor="text1" w:themeTint="A6"/>
            </w:tcBorders>
            <w:vAlign w:val="center"/>
          </w:tcPr>
          <w:p w14:paraId="4D396686" w14:textId="2651A250" w:rsidR="00CA06F3" w:rsidRPr="00124B9D" w:rsidRDefault="00AF4A1A" w:rsidP="008E041F">
            <w:pPr>
              <w:pStyle w:val="TableText"/>
              <w:spacing w:before="20" w:after="20"/>
              <w:jc w:val="center"/>
            </w:pPr>
            <w:r w:rsidRPr="00124B9D">
              <w:t>50</w:t>
            </w:r>
          </w:p>
        </w:tc>
        <w:tc>
          <w:tcPr>
            <w:tcW w:w="810" w:type="dxa"/>
            <w:vAlign w:val="center"/>
          </w:tcPr>
          <w:p w14:paraId="2E1F0A9B" w14:textId="040E0CFA" w:rsidR="00CA06F3" w:rsidRPr="00124B9D" w:rsidRDefault="00AF4A1A" w:rsidP="008E041F">
            <w:pPr>
              <w:pStyle w:val="TableText"/>
              <w:spacing w:before="20" w:after="20"/>
              <w:jc w:val="center"/>
            </w:pPr>
            <w:r w:rsidRPr="00124B9D">
              <w:t>31</w:t>
            </w:r>
          </w:p>
        </w:tc>
        <w:tc>
          <w:tcPr>
            <w:tcW w:w="990" w:type="dxa"/>
            <w:vAlign w:val="center"/>
          </w:tcPr>
          <w:p w14:paraId="77E6B3AC" w14:textId="617E291B" w:rsidR="00CA06F3" w:rsidRPr="00124B9D" w:rsidRDefault="00AF4A1A" w:rsidP="008E041F">
            <w:pPr>
              <w:pStyle w:val="TableText"/>
              <w:spacing w:before="20" w:after="20"/>
              <w:jc w:val="center"/>
            </w:pPr>
            <w:r w:rsidRPr="00124B9D">
              <w:t>8.65</w:t>
            </w:r>
          </w:p>
        </w:tc>
      </w:tr>
      <w:tr w:rsidR="00CA06F3" w:rsidRPr="00124B9D" w14:paraId="2CE8A261" w14:textId="77777777" w:rsidTr="00327F65">
        <w:trPr>
          <w:jc w:val="center"/>
        </w:trPr>
        <w:tc>
          <w:tcPr>
            <w:tcW w:w="1211" w:type="dxa"/>
            <w:vAlign w:val="center"/>
          </w:tcPr>
          <w:p w14:paraId="3BB9F865" w14:textId="008B7D7E" w:rsidR="00CA06F3" w:rsidRPr="00124B9D" w:rsidRDefault="00CA06F3" w:rsidP="008E041F">
            <w:pPr>
              <w:pStyle w:val="TableText"/>
              <w:spacing w:before="20" w:after="20"/>
              <w:jc w:val="center"/>
            </w:pPr>
            <w:r w:rsidRPr="00124B9D">
              <w:t>48</w:t>
            </w:r>
          </w:p>
        </w:tc>
        <w:tc>
          <w:tcPr>
            <w:tcW w:w="725" w:type="dxa"/>
            <w:tcBorders>
              <w:right w:val="single" w:sz="18" w:space="0" w:color="595959" w:themeColor="text1" w:themeTint="A6"/>
            </w:tcBorders>
            <w:vAlign w:val="center"/>
          </w:tcPr>
          <w:p w14:paraId="687B0385" w14:textId="63207FEE" w:rsidR="00CA06F3" w:rsidRPr="00124B9D" w:rsidRDefault="00CA06F3" w:rsidP="008E041F">
            <w:pPr>
              <w:pStyle w:val="TableText"/>
              <w:spacing w:before="20" w:after="20"/>
              <w:jc w:val="center"/>
            </w:pPr>
            <w:r w:rsidRPr="00124B9D">
              <w:t>12.57</w:t>
            </w:r>
          </w:p>
        </w:tc>
        <w:tc>
          <w:tcPr>
            <w:tcW w:w="854" w:type="dxa"/>
            <w:tcBorders>
              <w:left w:val="single" w:sz="18" w:space="0" w:color="595959" w:themeColor="text1" w:themeTint="A6"/>
            </w:tcBorders>
            <w:vAlign w:val="center"/>
          </w:tcPr>
          <w:p w14:paraId="5242F46F" w14:textId="52675025" w:rsidR="00CA06F3" w:rsidRPr="00124B9D" w:rsidRDefault="00CA06F3" w:rsidP="008E041F">
            <w:pPr>
              <w:pStyle w:val="TableText"/>
              <w:spacing w:before="20" w:after="20"/>
              <w:jc w:val="center"/>
            </w:pPr>
            <w:r w:rsidRPr="00124B9D">
              <w:t>60</w:t>
            </w:r>
          </w:p>
        </w:tc>
        <w:tc>
          <w:tcPr>
            <w:tcW w:w="810" w:type="dxa"/>
            <w:vAlign w:val="center"/>
          </w:tcPr>
          <w:p w14:paraId="6DA82E79" w14:textId="117AF136" w:rsidR="00CA06F3" w:rsidRPr="00124B9D" w:rsidRDefault="00CA06F3" w:rsidP="008E041F">
            <w:pPr>
              <w:pStyle w:val="TableText"/>
              <w:spacing w:before="20" w:after="20"/>
              <w:jc w:val="center"/>
            </w:pPr>
            <w:r w:rsidRPr="00124B9D">
              <w:t>38</w:t>
            </w:r>
          </w:p>
        </w:tc>
        <w:tc>
          <w:tcPr>
            <w:tcW w:w="900" w:type="dxa"/>
            <w:tcBorders>
              <w:right w:val="single" w:sz="18" w:space="0" w:color="595959" w:themeColor="text1" w:themeTint="A6"/>
            </w:tcBorders>
            <w:vAlign w:val="center"/>
          </w:tcPr>
          <w:p w14:paraId="680BC43A" w14:textId="15DAD88B" w:rsidR="00CA06F3" w:rsidRPr="00124B9D" w:rsidRDefault="00CA06F3" w:rsidP="008E041F">
            <w:pPr>
              <w:pStyle w:val="TableText"/>
              <w:spacing w:before="20" w:after="20"/>
              <w:jc w:val="center"/>
            </w:pPr>
            <w:r w:rsidRPr="00124B9D">
              <w:t>12.92</w:t>
            </w:r>
          </w:p>
        </w:tc>
        <w:tc>
          <w:tcPr>
            <w:tcW w:w="810" w:type="dxa"/>
            <w:tcBorders>
              <w:left w:val="single" w:sz="18" w:space="0" w:color="595959" w:themeColor="text1" w:themeTint="A6"/>
            </w:tcBorders>
            <w:vAlign w:val="center"/>
          </w:tcPr>
          <w:p w14:paraId="2673D10B" w14:textId="57ACA806" w:rsidR="00CA06F3" w:rsidRPr="00124B9D" w:rsidRDefault="00CA06F3" w:rsidP="008E041F">
            <w:pPr>
              <w:pStyle w:val="TableText"/>
              <w:spacing w:before="20" w:after="20"/>
              <w:jc w:val="center"/>
            </w:pPr>
            <w:r w:rsidRPr="00124B9D">
              <w:t>58</w:t>
            </w:r>
            <w:r w:rsidR="00AF4A1A" w:rsidRPr="00124B9D">
              <w:t xml:space="preserve"> </w:t>
            </w:r>
            <w:r w:rsidR="00AF4A1A" w:rsidRPr="00124B9D">
              <w:rPr>
                <w:vertAlign w:val="superscript"/>
              </w:rPr>
              <w:t>1</w:t>
            </w:r>
            <w:r w:rsidR="00AF4A1A" w:rsidRPr="00124B9D">
              <w:t>/</w:t>
            </w:r>
            <w:r w:rsidR="00AF4A1A" w:rsidRPr="00124B9D">
              <w:rPr>
                <w:vertAlign w:val="subscript"/>
              </w:rPr>
              <w:t>2</w:t>
            </w:r>
          </w:p>
        </w:tc>
        <w:tc>
          <w:tcPr>
            <w:tcW w:w="810" w:type="dxa"/>
            <w:vAlign w:val="center"/>
          </w:tcPr>
          <w:p w14:paraId="44276305" w14:textId="23CE042E" w:rsidR="00CA06F3" w:rsidRPr="00124B9D" w:rsidRDefault="00AF4A1A" w:rsidP="008E041F">
            <w:pPr>
              <w:pStyle w:val="TableText"/>
              <w:spacing w:before="20" w:after="20"/>
              <w:jc w:val="center"/>
            </w:pPr>
            <w:r w:rsidRPr="00124B9D">
              <w:t>36</w:t>
            </w:r>
          </w:p>
        </w:tc>
        <w:tc>
          <w:tcPr>
            <w:tcW w:w="810" w:type="dxa"/>
            <w:tcBorders>
              <w:right w:val="single" w:sz="18" w:space="0" w:color="595959" w:themeColor="text1" w:themeTint="A6"/>
            </w:tcBorders>
            <w:vAlign w:val="center"/>
          </w:tcPr>
          <w:p w14:paraId="360E905B" w14:textId="0840F815" w:rsidR="00CA06F3" w:rsidRPr="00124B9D" w:rsidRDefault="00AF4A1A" w:rsidP="008E041F">
            <w:pPr>
              <w:pStyle w:val="TableText"/>
              <w:spacing w:before="20" w:after="20"/>
              <w:jc w:val="center"/>
            </w:pPr>
            <w:r w:rsidRPr="00124B9D">
              <w:t>11.4</w:t>
            </w:r>
          </w:p>
        </w:tc>
        <w:tc>
          <w:tcPr>
            <w:tcW w:w="810" w:type="dxa"/>
            <w:tcBorders>
              <w:left w:val="single" w:sz="18" w:space="0" w:color="595959" w:themeColor="text1" w:themeTint="A6"/>
            </w:tcBorders>
            <w:vAlign w:val="center"/>
          </w:tcPr>
          <w:p w14:paraId="67C4CF38" w14:textId="58BA4179" w:rsidR="00CA06F3" w:rsidRPr="00124B9D" w:rsidRDefault="00AF4A1A" w:rsidP="008E041F">
            <w:pPr>
              <w:pStyle w:val="TableText"/>
              <w:spacing w:before="20" w:after="20"/>
              <w:jc w:val="center"/>
            </w:pPr>
            <w:r w:rsidRPr="00124B9D">
              <w:t>58</w:t>
            </w:r>
          </w:p>
        </w:tc>
        <w:tc>
          <w:tcPr>
            <w:tcW w:w="810" w:type="dxa"/>
            <w:vAlign w:val="center"/>
          </w:tcPr>
          <w:p w14:paraId="044E8139" w14:textId="70B5E02D" w:rsidR="00CA06F3" w:rsidRPr="00124B9D" w:rsidRDefault="00AF4A1A" w:rsidP="008E041F">
            <w:pPr>
              <w:pStyle w:val="TableText"/>
              <w:spacing w:before="20" w:after="20"/>
              <w:jc w:val="center"/>
            </w:pPr>
            <w:r w:rsidRPr="00124B9D">
              <w:t>36</w:t>
            </w:r>
          </w:p>
        </w:tc>
        <w:tc>
          <w:tcPr>
            <w:tcW w:w="990" w:type="dxa"/>
            <w:vAlign w:val="center"/>
          </w:tcPr>
          <w:p w14:paraId="52C00E12" w14:textId="55410811" w:rsidR="00CA06F3" w:rsidRPr="00124B9D" w:rsidRDefault="00AF4A1A" w:rsidP="008E041F">
            <w:pPr>
              <w:pStyle w:val="TableText"/>
              <w:spacing w:before="20" w:after="20"/>
              <w:jc w:val="center"/>
            </w:pPr>
            <w:r w:rsidRPr="00124B9D">
              <w:t>11.3</w:t>
            </w:r>
            <w:r w:rsidR="00D82491" w:rsidRPr="00124B9D">
              <w:t>0</w:t>
            </w:r>
          </w:p>
        </w:tc>
      </w:tr>
      <w:tr w:rsidR="00CA06F3" w:rsidRPr="00124B9D" w14:paraId="3A4E904A" w14:textId="77777777" w:rsidTr="00327F65">
        <w:trPr>
          <w:jc w:val="center"/>
        </w:trPr>
        <w:tc>
          <w:tcPr>
            <w:tcW w:w="1211" w:type="dxa"/>
            <w:vAlign w:val="center"/>
          </w:tcPr>
          <w:p w14:paraId="73AA34E8" w14:textId="53E892FD" w:rsidR="00CA06F3" w:rsidRPr="00124B9D" w:rsidRDefault="00CA06F3" w:rsidP="008E041F">
            <w:pPr>
              <w:pStyle w:val="TableText"/>
              <w:spacing w:before="20" w:after="20"/>
              <w:jc w:val="center"/>
            </w:pPr>
            <w:r w:rsidRPr="00124B9D">
              <w:t>54</w:t>
            </w:r>
          </w:p>
        </w:tc>
        <w:tc>
          <w:tcPr>
            <w:tcW w:w="725" w:type="dxa"/>
            <w:tcBorders>
              <w:right w:val="single" w:sz="18" w:space="0" w:color="595959" w:themeColor="text1" w:themeTint="A6"/>
            </w:tcBorders>
            <w:vAlign w:val="center"/>
          </w:tcPr>
          <w:p w14:paraId="63BCA808" w14:textId="5886C4D3" w:rsidR="00CA06F3" w:rsidRPr="00124B9D" w:rsidRDefault="00CA06F3" w:rsidP="008E041F">
            <w:pPr>
              <w:pStyle w:val="TableText"/>
              <w:spacing w:before="20" w:after="20"/>
              <w:jc w:val="center"/>
            </w:pPr>
            <w:r w:rsidRPr="00124B9D">
              <w:t>15.90</w:t>
            </w:r>
          </w:p>
        </w:tc>
        <w:tc>
          <w:tcPr>
            <w:tcW w:w="854" w:type="dxa"/>
            <w:tcBorders>
              <w:left w:val="single" w:sz="18" w:space="0" w:color="595959" w:themeColor="text1" w:themeTint="A6"/>
            </w:tcBorders>
            <w:vAlign w:val="center"/>
          </w:tcPr>
          <w:p w14:paraId="57872F92" w14:textId="55BB53C6" w:rsidR="00CA06F3" w:rsidRPr="00124B9D" w:rsidRDefault="00CA06F3" w:rsidP="008E041F">
            <w:pPr>
              <w:pStyle w:val="TableText"/>
              <w:spacing w:before="20" w:after="20"/>
              <w:jc w:val="center"/>
            </w:pPr>
            <w:r w:rsidRPr="00124B9D">
              <w:t>68</w:t>
            </w:r>
          </w:p>
        </w:tc>
        <w:tc>
          <w:tcPr>
            <w:tcW w:w="810" w:type="dxa"/>
            <w:vAlign w:val="center"/>
          </w:tcPr>
          <w:p w14:paraId="7838C6C2" w14:textId="56D51B21" w:rsidR="00CA06F3" w:rsidRPr="00124B9D" w:rsidRDefault="00CA06F3" w:rsidP="008E041F">
            <w:pPr>
              <w:pStyle w:val="TableText"/>
              <w:spacing w:before="20" w:after="20"/>
              <w:jc w:val="center"/>
            </w:pPr>
            <w:r w:rsidRPr="00124B9D">
              <w:t>43</w:t>
            </w:r>
          </w:p>
        </w:tc>
        <w:tc>
          <w:tcPr>
            <w:tcW w:w="900" w:type="dxa"/>
            <w:tcBorders>
              <w:right w:val="single" w:sz="18" w:space="0" w:color="595959" w:themeColor="text1" w:themeTint="A6"/>
            </w:tcBorders>
            <w:vAlign w:val="center"/>
          </w:tcPr>
          <w:p w14:paraId="352DEEB2" w14:textId="7A74FEB0" w:rsidR="00CA06F3" w:rsidRPr="00124B9D" w:rsidRDefault="00CA06F3" w:rsidP="008E041F">
            <w:pPr>
              <w:pStyle w:val="TableText"/>
              <w:spacing w:before="20" w:after="20"/>
              <w:jc w:val="center"/>
            </w:pPr>
            <w:r w:rsidRPr="00124B9D">
              <w:t>16.6</w:t>
            </w:r>
          </w:p>
        </w:tc>
        <w:tc>
          <w:tcPr>
            <w:tcW w:w="810" w:type="dxa"/>
            <w:tcBorders>
              <w:left w:val="single" w:sz="18" w:space="0" w:color="595959" w:themeColor="text1" w:themeTint="A6"/>
            </w:tcBorders>
            <w:vAlign w:val="center"/>
          </w:tcPr>
          <w:p w14:paraId="3E2B03FF" w14:textId="0D5B8BA8" w:rsidR="00CA06F3" w:rsidRPr="00124B9D" w:rsidRDefault="00CA06F3" w:rsidP="008E041F">
            <w:pPr>
              <w:pStyle w:val="TableText"/>
              <w:spacing w:before="20" w:after="20"/>
              <w:jc w:val="center"/>
            </w:pPr>
            <w:r w:rsidRPr="00124B9D">
              <w:t>65</w:t>
            </w:r>
          </w:p>
        </w:tc>
        <w:tc>
          <w:tcPr>
            <w:tcW w:w="810" w:type="dxa"/>
            <w:vAlign w:val="center"/>
          </w:tcPr>
          <w:p w14:paraId="1345259B" w14:textId="10C42212" w:rsidR="00CA06F3" w:rsidRPr="00124B9D" w:rsidRDefault="00AF4A1A" w:rsidP="008E041F">
            <w:pPr>
              <w:pStyle w:val="TableText"/>
              <w:spacing w:before="20" w:after="20"/>
              <w:jc w:val="center"/>
            </w:pPr>
            <w:r w:rsidRPr="00124B9D">
              <w:t>40</w:t>
            </w:r>
          </w:p>
        </w:tc>
        <w:tc>
          <w:tcPr>
            <w:tcW w:w="810" w:type="dxa"/>
            <w:tcBorders>
              <w:right w:val="single" w:sz="18" w:space="0" w:color="595959" w:themeColor="text1" w:themeTint="A6"/>
            </w:tcBorders>
            <w:vAlign w:val="center"/>
          </w:tcPr>
          <w:p w14:paraId="5EC06839" w14:textId="566D78F1" w:rsidR="00CA06F3" w:rsidRPr="00124B9D" w:rsidRDefault="00AF4A1A" w:rsidP="008E041F">
            <w:pPr>
              <w:pStyle w:val="TableText"/>
              <w:spacing w:before="20" w:after="20"/>
              <w:jc w:val="center"/>
            </w:pPr>
            <w:r w:rsidRPr="00124B9D">
              <w:t>14.3</w:t>
            </w:r>
          </w:p>
        </w:tc>
        <w:tc>
          <w:tcPr>
            <w:tcW w:w="810" w:type="dxa"/>
            <w:tcBorders>
              <w:left w:val="single" w:sz="18" w:space="0" w:color="595959" w:themeColor="text1" w:themeTint="A6"/>
            </w:tcBorders>
            <w:vAlign w:val="center"/>
          </w:tcPr>
          <w:p w14:paraId="166B4666" w14:textId="3AAC12FD" w:rsidR="00CA06F3" w:rsidRPr="00124B9D" w:rsidRDefault="00AF4A1A" w:rsidP="008E041F">
            <w:pPr>
              <w:pStyle w:val="TableText"/>
              <w:spacing w:before="20" w:after="20"/>
              <w:jc w:val="center"/>
            </w:pPr>
            <w:r w:rsidRPr="00124B9D">
              <w:t>65</w:t>
            </w:r>
          </w:p>
        </w:tc>
        <w:tc>
          <w:tcPr>
            <w:tcW w:w="810" w:type="dxa"/>
            <w:vAlign w:val="center"/>
          </w:tcPr>
          <w:p w14:paraId="2C787BEA" w14:textId="414AC007" w:rsidR="00CA06F3" w:rsidRPr="00124B9D" w:rsidRDefault="00AF4A1A" w:rsidP="008E041F">
            <w:pPr>
              <w:pStyle w:val="TableText"/>
              <w:spacing w:before="20" w:after="20"/>
              <w:jc w:val="center"/>
            </w:pPr>
            <w:r w:rsidRPr="00124B9D">
              <w:t>40</w:t>
            </w:r>
          </w:p>
        </w:tc>
        <w:tc>
          <w:tcPr>
            <w:tcW w:w="990" w:type="dxa"/>
            <w:vAlign w:val="center"/>
          </w:tcPr>
          <w:p w14:paraId="25369714" w14:textId="1847D493" w:rsidR="00CA06F3" w:rsidRPr="00124B9D" w:rsidRDefault="00AF4A1A" w:rsidP="008E041F">
            <w:pPr>
              <w:pStyle w:val="TableText"/>
              <w:spacing w:before="20" w:after="20"/>
              <w:jc w:val="center"/>
            </w:pPr>
            <w:r w:rsidRPr="00124B9D">
              <w:t>14.34</w:t>
            </w:r>
          </w:p>
        </w:tc>
      </w:tr>
      <w:tr w:rsidR="00EE03C0" w:rsidRPr="00124B9D" w14:paraId="72135A30" w14:textId="7DC17F00" w:rsidTr="00327F65">
        <w:trPr>
          <w:jc w:val="center"/>
        </w:trPr>
        <w:tc>
          <w:tcPr>
            <w:tcW w:w="1211" w:type="dxa"/>
            <w:vAlign w:val="center"/>
          </w:tcPr>
          <w:p w14:paraId="2FD3039A" w14:textId="096E03D6" w:rsidR="00CA06F3" w:rsidRPr="00124B9D" w:rsidRDefault="00CA06F3" w:rsidP="008E041F">
            <w:pPr>
              <w:pStyle w:val="TableText"/>
              <w:spacing w:before="20" w:after="20"/>
              <w:jc w:val="center"/>
            </w:pPr>
            <w:r w:rsidRPr="00124B9D">
              <w:t>60</w:t>
            </w:r>
          </w:p>
        </w:tc>
        <w:tc>
          <w:tcPr>
            <w:tcW w:w="725" w:type="dxa"/>
            <w:tcBorders>
              <w:right w:val="single" w:sz="18" w:space="0" w:color="595959" w:themeColor="text1" w:themeTint="A6"/>
            </w:tcBorders>
            <w:vAlign w:val="center"/>
          </w:tcPr>
          <w:p w14:paraId="4D3DE64A" w14:textId="0C54F07B" w:rsidR="00CA06F3" w:rsidRPr="00124B9D" w:rsidRDefault="00CA06F3" w:rsidP="008E041F">
            <w:pPr>
              <w:pStyle w:val="TableText"/>
              <w:spacing w:before="20" w:after="20"/>
              <w:jc w:val="center"/>
            </w:pPr>
            <w:r w:rsidRPr="00124B9D">
              <w:t>19.64</w:t>
            </w:r>
          </w:p>
        </w:tc>
        <w:tc>
          <w:tcPr>
            <w:tcW w:w="854" w:type="dxa"/>
            <w:tcBorders>
              <w:left w:val="single" w:sz="18" w:space="0" w:color="595959" w:themeColor="text1" w:themeTint="A6"/>
            </w:tcBorders>
            <w:vAlign w:val="center"/>
          </w:tcPr>
          <w:p w14:paraId="5AB87953" w14:textId="5567B433" w:rsidR="00CA06F3" w:rsidRPr="00124B9D" w:rsidRDefault="00CA06F3" w:rsidP="008E041F">
            <w:pPr>
              <w:pStyle w:val="TableText"/>
              <w:spacing w:before="20" w:after="20"/>
              <w:jc w:val="center"/>
            </w:pPr>
            <w:r w:rsidRPr="00124B9D">
              <w:t>76</w:t>
            </w:r>
          </w:p>
        </w:tc>
        <w:tc>
          <w:tcPr>
            <w:tcW w:w="810" w:type="dxa"/>
            <w:vAlign w:val="center"/>
          </w:tcPr>
          <w:p w14:paraId="199038BB" w14:textId="3F8FFFF3" w:rsidR="00CA06F3" w:rsidRPr="00124B9D" w:rsidRDefault="00CA06F3" w:rsidP="008E041F">
            <w:pPr>
              <w:pStyle w:val="TableText"/>
              <w:spacing w:before="20" w:after="20"/>
              <w:jc w:val="center"/>
            </w:pPr>
            <w:r w:rsidRPr="00124B9D">
              <w:t>48</w:t>
            </w:r>
          </w:p>
        </w:tc>
        <w:tc>
          <w:tcPr>
            <w:tcW w:w="900" w:type="dxa"/>
            <w:tcBorders>
              <w:right w:val="single" w:sz="18" w:space="0" w:color="595959" w:themeColor="text1" w:themeTint="A6"/>
            </w:tcBorders>
            <w:vAlign w:val="center"/>
          </w:tcPr>
          <w:p w14:paraId="6A1E8CAC" w14:textId="00553845" w:rsidR="00CA06F3" w:rsidRPr="00124B9D" w:rsidRDefault="00CA06F3" w:rsidP="008E041F">
            <w:pPr>
              <w:pStyle w:val="TableText"/>
              <w:spacing w:before="20" w:after="20"/>
              <w:jc w:val="center"/>
            </w:pPr>
            <w:r w:rsidRPr="00124B9D">
              <w:t>20.5</w:t>
            </w:r>
          </w:p>
        </w:tc>
        <w:tc>
          <w:tcPr>
            <w:tcW w:w="810" w:type="dxa"/>
            <w:tcBorders>
              <w:left w:val="single" w:sz="18" w:space="0" w:color="595959" w:themeColor="text1" w:themeTint="A6"/>
            </w:tcBorders>
            <w:vAlign w:val="center"/>
          </w:tcPr>
          <w:p w14:paraId="3204C714" w14:textId="0C09547F" w:rsidR="00CA06F3" w:rsidRPr="00124B9D" w:rsidRDefault="00CA06F3" w:rsidP="008E041F">
            <w:pPr>
              <w:pStyle w:val="TableText"/>
              <w:spacing w:before="20" w:after="20"/>
              <w:jc w:val="center"/>
            </w:pPr>
            <w:r w:rsidRPr="00124B9D">
              <w:t>73</w:t>
            </w:r>
          </w:p>
        </w:tc>
        <w:tc>
          <w:tcPr>
            <w:tcW w:w="810" w:type="dxa"/>
            <w:vAlign w:val="center"/>
          </w:tcPr>
          <w:p w14:paraId="7C560DB3" w14:textId="0F85D83F" w:rsidR="00CA06F3" w:rsidRPr="00124B9D" w:rsidRDefault="00AF4A1A" w:rsidP="008E041F">
            <w:pPr>
              <w:pStyle w:val="TableText"/>
              <w:spacing w:before="20" w:after="20"/>
              <w:jc w:val="center"/>
            </w:pPr>
            <w:r w:rsidRPr="00124B9D">
              <w:t>45</w:t>
            </w:r>
          </w:p>
        </w:tc>
        <w:tc>
          <w:tcPr>
            <w:tcW w:w="810" w:type="dxa"/>
            <w:tcBorders>
              <w:right w:val="single" w:sz="18" w:space="0" w:color="595959" w:themeColor="text1" w:themeTint="A6"/>
            </w:tcBorders>
            <w:vAlign w:val="center"/>
          </w:tcPr>
          <w:p w14:paraId="0C587827" w14:textId="6F9EF9B2" w:rsidR="00CA06F3" w:rsidRPr="00124B9D" w:rsidRDefault="00AF4A1A" w:rsidP="008E041F">
            <w:pPr>
              <w:pStyle w:val="TableText"/>
              <w:spacing w:before="20" w:after="20"/>
              <w:jc w:val="center"/>
            </w:pPr>
            <w:r w:rsidRPr="00124B9D">
              <w:t>17.7</w:t>
            </w:r>
          </w:p>
        </w:tc>
        <w:tc>
          <w:tcPr>
            <w:tcW w:w="810" w:type="dxa"/>
            <w:tcBorders>
              <w:left w:val="single" w:sz="18" w:space="0" w:color="595959" w:themeColor="text1" w:themeTint="A6"/>
            </w:tcBorders>
            <w:vAlign w:val="center"/>
          </w:tcPr>
          <w:p w14:paraId="03321365" w14:textId="0C24A51E" w:rsidR="00CA06F3" w:rsidRPr="00124B9D" w:rsidRDefault="00AF4A1A" w:rsidP="008E041F">
            <w:pPr>
              <w:pStyle w:val="TableText"/>
              <w:spacing w:before="20" w:after="20"/>
              <w:jc w:val="center"/>
            </w:pPr>
            <w:r w:rsidRPr="00124B9D">
              <w:t>72</w:t>
            </w:r>
          </w:p>
        </w:tc>
        <w:tc>
          <w:tcPr>
            <w:tcW w:w="810" w:type="dxa"/>
            <w:vAlign w:val="center"/>
          </w:tcPr>
          <w:p w14:paraId="331ECEDA" w14:textId="3080C903" w:rsidR="00CA06F3" w:rsidRPr="00124B9D" w:rsidRDefault="00AF4A1A" w:rsidP="008E041F">
            <w:pPr>
              <w:pStyle w:val="TableText"/>
              <w:spacing w:before="20" w:after="20"/>
              <w:jc w:val="center"/>
            </w:pPr>
            <w:r w:rsidRPr="00124B9D">
              <w:t>44</w:t>
            </w:r>
          </w:p>
        </w:tc>
        <w:tc>
          <w:tcPr>
            <w:tcW w:w="990" w:type="dxa"/>
            <w:vAlign w:val="center"/>
          </w:tcPr>
          <w:p w14:paraId="3FF24DC6" w14:textId="753D28E7" w:rsidR="00CA06F3" w:rsidRPr="00124B9D" w:rsidRDefault="00AF4A1A" w:rsidP="008E041F">
            <w:pPr>
              <w:pStyle w:val="TableText"/>
              <w:spacing w:before="20" w:after="20"/>
              <w:jc w:val="center"/>
            </w:pPr>
            <w:r w:rsidRPr="00124B9D">
              <w:t>17.7</w:t>
            </w:r>
          </w:p>
        </w:tc>
      </w:tr>
      <w:tr w:rsidR="00EE03C0" w:rsidRPr="00124B9D" w14:paraId="037D9ADA" w14:textId="4D9E87D6" w:rsidTr="00327F65">
        <w:trPr>
          <w:jc w:val="center"/>
        </w:trPr>
        <w:tc>
          <w:tcPr>
            <w:tcW w:w="1211" w:type="dxa"/>
            <w:vAlign w:val="center"/>
          </w:tcPr>
          <w:p w14:paraId="6B77D8FF" w14:textId="7A2019AE" w:rsidR="00CA06F3" w:rsidRPr="00124B9D" w:rsidRDefault="00CA06F3" w:rsidP="008E041F">
            <w:pPr>
              <w:pStyle w:val="TableText"/>
              <w:spacing w:before="20" w:after="20"/>
              <w:jc w:val="center"/>
            </w:pPr>
            <w:r w:rsidRPr="00124B9D">
              <w:t>66</w:t>
            </w:r>
          </w:p>
        </w:tc>
        <w:tc>
          <w:tcPr>
            <w:tcW w:w="725" w:type="dxa"/>
            <w:tcBorders>
              <w:right w:val="single" w:sz="18" w:space="0" w:color="595959" w:themeColor="text1" w:themeTint="A6"/>
            </w:tcBorders>
            <w:vAlign w:val="center"/>
          </w:tcPr>
          <w:p w14:paraId="6FCCAEB0" w14:textId="3AC86AC6" w:rsidR="00CA06F3" w:rsidRPr="00124B9D" w:rsidRDefault="00CA06F3" w:rsidP="008E041F">
            <w:pPr>
              <w:pStyle w:val="TableText"/>
              <w:spacing w:before="20" w:after="20"/>
              <w:jc w:val="center"/>
            </w:pPr>
            <w:r w:rsidRPr="00124B9D">
              <w:t>23.76</w:t>
            </w:r>
          </w:p>
        </w:tc>
        <w:tc>
          <w:tcPr>
            <w:tcW w:w="854" w:type="dxa"/>
            <w:tcBorders>
              <w:left w:val="single" w:sz="18" w:space="0" w:color="595959" w:themeColor="text1" w:themeTint="A6"/>
            </w:tcBorders>
            <w:vAlign w:val="center"/>
          </w:tcPr>
          <w:p w14:paraId="1A56801D" w14:textId="67C1B41C" w:rsidR="00CA06F3" w:rsidRPr="00124B9D" w:rsidRDefault="00CA06F3" w:rsidP="008E041F">
            <w:pPr>
              <w:pStyle w:val="TableText"/>
              <w:spacing w:before="20" w:after="20"/>
              <w:jc w:val="center"/>
            </w:pPr>
            <w:r w:rsidRPr="00124B9D">
              <w:t>83</w:t>
            </w:r>
          </w:p>
        </w:tc>
        <w:tc>
          <w:tcPr>
            <w:tcW w:w="810" w:type="dxa"/>
            <w:vAlign w:val="center"/>
          </w:tcPr>
          <w:p w14:paraId="5822989E" w14:textId="453E919D" w:rsidR="00CA06F3" w:rsidRPr="00124B9D" w:rsidRDefault="00CA06F3" w:rsidP="008E041F">
            <w:pPr>
              <w:pStyle w:val="TableText"/>
              <w:spacing w:before="20" w:after="20"/>
              <w:jc w:val="center"/>
            </w:pPr>
            <w:r w:rsidRPr="00124B9D">
              <w:t>53</w:t>
            </w:r>
          </w:p>
        </w:tc>
        <w:tc>
          <w:tcPr>
            <w:tcW w:w="900" w:type="dxa"/>
            <w:tcBorders>
              <w:right w:val="single" w:sz="18" w:space="0" w:color="595959" w:themeColor="text1" w:themeTint="A6"/>
            </w:tcBorders>
            <w:vAlign w:val="center"/>
          </w:tcPr>
          <w:p w14:paraId="0AF3A2E4" w14:textId="0922ED34" w:rsidR="00CA06F3" w:rsidRPr="00124B9D" w:rsidRDefault="00CA06F3" w:rsidP="008E041F">
            <w:pPr>
              <w:pStyle w:val="TableText"/>
              <w:spacing w:before="20" w:after="20"/>
              <w:jc w:val="center"/>
            </w:pPr>
            <w:r w:rsidRPr="00124B9D">
              <w:t>24.8</w:t>
            </w:r>
          </w:p>
        </w:tc>
        <w:tc>
          <w:tcPr>
            <w:tcW w:w="810" w:type="dxa"/>
            <w:tcBorders>
              <w:left w:val="single" w:sz="18" w:space="0" w:color="595959" w:themeColor="text1" w:themeTint="A6"/>
            </w:tcBorders>
            <w:vAlign w:val="center"/>
          </w:tcPr>
          <w:p w14:paraId="3C333B5F" w14:textId="5CFB42E8" w:rsidR="00CA06F3" w:rsidRPr="00124B9D" w:rsidRDefault="00CA06F3" w:rsidP="008E041F">
            <w:pPr>
              <w:pStyle w:val="TableText"/>
              <w:spacing w:before="20" w:after="20"/>
              <w:jc w:val="center"/>
            </w:pPr>
            <w:r w:rsidRPr="00124B9D">
              <w:t>88</w:t>
            </w:r>
          </w:p>
        </w:tc>
        <w:tc>
          <w:tcPr>
            <w:tcW w:w="810" w:type="dxa"/>
            <w:vAlign w:val="center"/>
          </w:tcPr>
          <w:p w14:paraId="1479844E" w14:textId="65CCD948" w:rsidR="00CA06F3" w:rsidRPr="00124B9D" w:rsidRDefault="00AF4A1A" w:rsidP="008E041F">
            <w:pPr>
              <w:pStyle w:val="TableText"/>
              <w:spacing w:before="20" w:after="20"/>
              <w:jc w:val="center"/>
            </w:pPr>
            <w:r w:rsidRPr="00124B9D">
              <w:t>54</w:t>
            </w:r>
          </w:p>
        </w:tc>
        <w:tc>
          <w:tcPr>
            <w:tcW w:w="810" w:type="dxa"/>
            <w:tcBorders>
              <w:right w:val="single" w:sz="18" w:space="0" w:color="595959" w:themeColor="text1" w:themeTint="A6"/>
            </w:tcBorders>
            <w:vAlign w:val="center"/>
          </w:tcPr>
          <w:p w14:paraId="14D5612E" w14:textId="2F63EF27" w:rsidR="00CA06F3" w:rsidRPr="00124B9D" w:rsidRDefault="00AF4A1A" w:rsidP="008E041F">
            <w:pPr>
              <w:pStyle w:val="TableText"/>
              <w:spacing w:before="20" w:after="20"/>
              <w:jc w:val="center"/>
            </w:pPr>
            <w:r w:rsidRPr="00124B9D">
              <w:t>25.6</w:t>
            </w:r>
          </w:p>
        </w:tc>
        <w:tc>
          <w:tcPr>
            <w:tcW w:w="810" w:type="dxa"/>
            <w:tcBorders>
              <w:left w:val="single" w:sz="18" w:space="0" w:color="595959" w:themeColor="text1" w:themeTint="A6"/>
            </w:tcBorders>
            <w:vAlign w:val="center"/>
          </w:tcPr>
          <w:p w14:paraId="55CDED97" w14:textId="3E913D3E" w:rsidR="00CA06F3" w:rsidRPr="00124B9D" w:rsidRDefault="007574FB" w:rsidP="008E041F">
            <w:pPr>
              <w:pStyle w:val="TableText"/>
              <w:spacing w:before="20" w:after="20"/>
              <w:jc w:val="center"/>
            </w:pPr>
            <w:r w:rsidRPr="00124B9D">
              <w:t>—</w:t>
            </w:r>
          </w:p>
        </w:tc>
        <w:tc>
          <w:tcPr>
            <w:tcW w:w="810" w:type="dxa"/>
            <w:vAlign w:val="center"/>
          </w:tcPr>
          <w:p w14:paraId="58209352" w14:textId="79C9FB80" w:rsidR="00CA06F3" w:rsidRPr="00124B9D" w:rsidRDefault="007574FB" w:rsidP="008E041F">
            <w:pPr>
              <w:pStyle w:val="TableText"/>
              <w:spacing w:before="20" w:after="20"/>
              <w:jc w:val="center"/>
            </w:pPr>
            <w:r w:rsidRPr="00124B9D">
              <w:t>—</w:t>
            </w:r>
          </w:p>
        </w:tc>
        <w:tc>
          <w:tcPr>
            <w:tcW w:w="990" w:type="dxa"/>
            <w:vAlign w:val="center"/>
          </w:tcPr>
          <w:p w14:paraId="74C085FB" w14:textId="01EDE2EF" w:rsidR="00CA06F3" w:rsidRPr="00124B9D" w:rsidRDefault="007574FB" w:rsidP="008E041F">
            <w:pPr>
              <w:pStyle w:val="TableText"/>
              <w:spacing w:before="20" w:after="20"/>
              <w:jc w:val="center"/>
            </w:pPr>
            <w:r w:rsidRPr="00124B9D">
              <w:t>—</w:t>
            </w:r>
          </w:p>
        </w:tc>
      </w:tr>
      <w:tr w:rsidR="00EE03C0" w:rsidRPr="00124B9D" w14:paraId="676F6535" w14:textId="18E0DC2E" w:rsidTr="00327F65">
        <w:trPr>
          <w:jc w:val="center"/>
        </w:trPr>
        <w:tc>
          <w:tcPr>
            <w:tcW w:w="1211" w:type="dxa"/>
            <w:vAlign w:val="center"/>
          </w:tcPr>
          <w:p w14:paraId="04AA4729" w14:textId="7FC0F3BC" w:rsidR="00CA06F3" w:rsidRPr="00124B9D" w:rsidRDefault="00CA06F3" w:rsidP="008E041F">
            <w:pPr>
              <w:pStyle w:val="TableText"/>
              <w:spacing w:before="20" w:after="20"/>
              <w:jc w:val="center"/>
            </w:pPr>
            <w:r w:rsidRPr="00124B9D">
              <w:t>72</w:t>
            </w:r>
          </w:p>
        </w:tc>
        <w:tc>
          <w:tcPr>
            <w:tcW w:w="725" w:type="dxa"/>
            <w:tcBorders>
              <w:right w:val="single" w:sz="18" w:space="0" w:color="595959" w:themeColor="text1" w:themeTint="A6"/>
            </w:tcBorders>
            <w:vAlign w:val="center"/>
          </w:tcPr>
          <w:p w14:paraId="13789895" w14:textId="6ADE1EED" w:rsidR="00CA06F3" w:rsidRPr="00124B9D" w:rsidRDefault="00CA06F3" w:rsidP="008E041F">
            <w:pPr>
              <w:pStyle w:val="TableText"/>
              <w:spacing w:before="20" w:after="20"/>
              <w:jc w:val="center"/>
            </w:pPr>
            <w:r w:rsidRPr="00124B9D">
              <w:t>28.27</w:t>
            </w:r>
          </w:p>
        </w:tc>
        <w:tc>
          <w:tcPr>
            <w:tcW w:w="854" w:type="dxa"/>
            <w:tcBorders>
              <w:left w:val="single" w:sz="18" w:space="0" w:color="595959" w:themeColor="text1" w:themeTint="A6"/>
            </w:tcBorders>
            <w:vAlign w:val="center"/>
          </w:tcPr>
          <w:p w14:paraId="148257CF" w14:textId="40764CEE" w:rsidR="00CA06F3" w:rsidRPr="00124B9D" w:rsidRDefault="00CA06F3" w:rsidP="008E041F">
            <w:pPr>
              <w:pStyle w:val="TableText"/>
              <w:spacing w:before="20" w:after="20"/>
              <w:jc w:val="center"/>
            </w:pPr>
            <w:r w:rsidRPr="00124B9D">
              <w:t>91</w:t>
            </w:r>
          </w:p>
        </w:tc>
        <w:tc>
          <w:tcPr>
            <w:tcW w:w="810" w:type="dxa"/>
            <w:vAlign w:val="center"/>
          </w:tcPr>
          <w:p w14:paraId="09B4EE1A" w14:textId="1A314ECD" w:rsidR="00CA06F3" w:rsidRPr="00124B9D" w:rsidRDefault="00CA06F3" w:rsidP="008E041F">
            <w:pPr>
              <w:pStyle w:val="TableText"/>
              <w:spacing w:before="20" w:after="20"/>
              <w:jc w:val="center"/>
            </w:pPr>
            <w:r w:rsidRPr="00124B9D">
              <w:t>58</w:t>
            </w:r>
          </w:p>
        </w:tc>
        <w:tc>
          <w:tcPr>
            <w:tcW w:w="900" w:type="dxa"/>
            <w:tcBorders>
              <w:right w:val="single" w:sz="18" w:space="0" w:color="595959" w:themeColor="text1" w:themeTint="A6"/>
            </w:tcBorders>
            <w:vAlign w:val="center"/>
          </w:tcPr>
          <w:p w14:paraId="47D4848A" w14:textId="2282F98B" w:rsidR="00CA06F3" w:rsidRPr="00124B9D" w:rsidRDefault="00CA06F3" w:rsidP="008E041F">
            <w:pPr>
              <w:pStyle w:val="TableText"/>
              <w:spacing w:before="20" w:after="20"/>
              <w:jc w:val="center"/>
            </w:pPr>
            <w:r w:rsidRPr="00124B9D">
              <w:t>29.5</w:t>
            </w:r>
          </w:p>
        </w:tc>
        <w:tc>
          <w:tcPr>
            <w:tcW w:w="810" w:type="dxa"/>
            <w:tcBorders>
              <w:left w:val="single" w:sz="18" w:space="0" w:color="595959" w:themeColor="text1" w:themeTint="A6"/>
            </w:tcBorders>
            <w:vAlign w:val="center"/>
          </w:tcPr>
          <w:p w14:paraId="1FBCC386" w14:textId="1CE8CEBF" w:rsidR="00CA06F3" w:rsidRPr="00124B9D" w:rsidRDefault="007574FB" w:rsidP="008E041F">
            <w:pPr>
              <w:pStyle w:val="TableText"/>
              <w:spacing w:before="20" w:after="20"/>
              <w:jc w:val="center"/>
            </w:pPr>
            <w:r w:rsidRPr="00124B9D">
              <w:t>—</w:t>
            </w:r>
          </w:p>
        </w:tc>
        <w:tc>
          <w:tcPr>
            <w:tcW w:w="810" w:type="dxa"/>
            <w:vAlign w:val="center"/>
          </w:tcPr>
          <w:p w14:paraId="27A59C03" w14:textId="64D702EE" w:rsidR="00CA06F3" w:rsidRPr="00124B9D" w:rsidRDefault="007574FB" w:rsidP="008E041F">
            <w:pPr>
              <w:pStyle w:val="TableText"/>
              <w:spacing w:before="20" w:after="20"/>
              <w:jc w:val="center"/>
            </w:pPr>
            <w:r w:rsidRPr="00124B9D">
              <w:t>—</w:t>
            </w:r>
          </w:p>
        </w:tc>
        <w:tc>
          <w:tcPr>
            <w:tcW w:w="810" w:type="dxa"/>
            <w:tcBorders>
              <w:right w:val="single" w:sz="18" w:space="0" w:color="595959" w:themeColor="text1" w:themeTint="A6"/>
            </w:tcBorders>
            <w:vAlign w:val="center"/>
          </w:tcPr>
          <w:p w14:paraId="175ED8A3" w14:textId="1C0A230E" w:rsidR="00CA06F3" w:rsidRPr="00124B9D" w:rsidRDefault="007574FB" w:rsidP="008E041F">
            <w:pPr>
              <w:pStyle w:val="TableText"/>
              <w:spacing w:before="20" w:after="20"/>
              <w:jc w:val="center"/>
            </w:pPr>
            <w:r w:rsidRPr="00124B9D">
              <w:t>—</w:t>
            </w:r>
          </w:p>
        </w:tc>
        <w:tc>
          <w:tcPr>
            <w:tcW w:w="810" w:type="dxa"/>
            <w:tcBorders>
              <w:left w:val="single" w:sz="18" w:space="0" w:color="595959" w:themeColor="text1" w:themeTint="A6"/>
            </w:tcBorders>
            <w:vAlign w:val="center"/>
          </w:tcPr>
          <w:p w14:paraId="056B9D11" w14:textId="19BAAD03" w:rsidR="00CA06F3" w:rsidRPr="00124B9D" w:rsidRDefault="007574FB" w:rsidP="008E041F">
            <w:pPr>
              <w:pStyle w:val="TableText"/>
              <w:spacing w:before="20" w:after="20"/>
              <w:jc w:val="center"/>
            </w:pPr>
            <w:r w:rsidRPr="00124B9D">
              <w:t>—</w:t>
            </w:r>
          </w:p>
        </w:tc>
        <w:tc>
          <w:tcPr>
            <w:tcW w:w="810" w:type="dxa"/>
            <w:vAlign w:val="center"/>
          </w:tcPr>
          <w:p w14:paraId="0C754C2D" w14:textId="40100E73" w:rsidR="00CA06F3" w:rsidRPr="00124B9D" w:rsidRDefault="007574FB" w:rsidP="008E041F">
            <w:pPr>
              <w:pStyle w:val="TableText"/>
              <w:spacing w:before="20" w:after="20"/>
              <w:jc w:val="center"/>
            </w:pPr>
            <w:r w:rsidRPr="00124B9D">
              <w:t>—</w:t>
            </w:r>
          </w:p>
        </w:tc>
        <w:tc>
          <w:tcPr>
            <w:tcW w:w="990" w:type="dxa"/>
            <w:vAlign w:val="center"/>
          </w:tcPr>
          <w:p w14:paraId="0AF81A44" w14:textId="6EA93BE6" w:rsidR="00CA06F3" w:rsidRPr="00124B9D" w:rsidRDefault="007574FB" w:rsidP="008E041F">
            <w:pPr>
              <w:pStyle w:val="TableText"/>
              <w:spacing w:before="20" w:after="20"/>
              <w:jc w:val="center"/>
            </w:pPr>
            <w:r w:rsidRPr="00124B9D">
              <w:t>—</w:t>
            </w:r>
          </w:p>
        </w:tc>
      </w:tr>
    </w:tbl>
    <w:p w14:paraId="0EE308D6" w14:textId="196D82ED" w:rsidR="00AE3199" w:rsidRPr="00124B9D" w:rsidRDefault="00AE3199" w:rsidP="00D11DF0">
      <w:pPr>
        <w:pStyle w:val="BodyText"/>
        <w:spacing w:before="120"/>
        <w:rPr>
          <w:b/>
          <w:i/>
        </w:rPr>
      </w:pPr>
      <w:r w:rsidRPr="00124B9D">
        <w:lastRenderedPageBreak/>
        <w:t>Allowable materials for culverts, most commonly reinforced concrete, smooth or corrugated metal, and smooth or corrugated PVC or HDPE, can be found in the City’s Standard Specifications.</w:t>
      </w:r>
    </w:p>
    <w:p w14:paraId="02D9BF2C" w14:textId="65DE0470" w:rsidR="00F21652" w:rsidRPr="00124B9D" w:rsidRDefault="00F21652" w:rsidP="00156AAF">
      <w:pPr>
        <w:pStyle w:val="Heading3"/>
      </w:pPr>
      <w:bookmarkStart w:id="12" w:name="_Toc46399131"/>
      <w:r w:rsidRPr="00124B9D">
        <w:t>Velocity</w:t>
      </w:r>
      <w:bookmarkEnd w:id="12"/>
    </w:p>
    <w:p w14:paraId="115D17CE" w14:textId="5FC6001C" w:rsidR="00F21652" w:rsidRPr="00124B9D" w:rsidRDefault="00F21652" w:rsidP="00207069">
      <w:pPr>
        <w:pStyle w:val="BodyText"/>
      </w:pPr>
      <w:r w:rsidRPr="00124B9D">
        <w:t xml:space="preserve">A minimum velocity of </w:t>
      </w:r>
      <w:r w:rsidR="007574FB" w:rsidRPr="00124B9D">
        <w:t>2</w:t>
      </w:r>
      <w:r w:rsidRPr="00124B9D">
        <w:t xml:space="preserve"> feet per second should be maintained in the culvert to preclude settlement of silts and other solids. Velocities greater than </w:t>
      </w:r>
      <w:r w:rsidR="007574FB" w:rsidRPr="00124B9D">
        <w:t>10</w:t>
      </w:r>
      <w:r w:rsidRPr="00124B9D">
        <w:t xml:space="preserve"> feet per second should be avoided when possible. See Chapter 6 of this manual for energy dissipation measures for outlet velocities greater than </w:t>
      </w:r>
      <w:r w:rsidR="007574FB" w:rsidRPr="00124B9D">
        <w:t>10</w:t>
      </w:r>
      <w:r w:rsidRPr="00124B9D">
        <w:t xml:space="preserve"> feet per second.</w:t>
      </w:r>
    </w:p>
    <w:p w14:paraId="02AEDF12" w14:textId="5F50C1F6" w:rsidR="00970A09" w:rsidRPr="00124B9D" w:rsidRDefault="00970A09" w:rsidP="00156AAF">
      <w:pPr>
        <w:pStyle w:val="Heading3"/>
      </w:pPr>
      <w:bookmarkStart w:id="13" w:name="_Toc46399132"/>
      <w:r w:rsidRPr="00124B9D">
        <w:t>Culvert Sizes</w:t>
      </w:r>
      <w:bookmarkEnd w:id="13"/>
    </w:p>
    <w:p w14:paraId="09B05D8E" w14:textId="70C97776" w:rsidR="00970A09" w:rsidRPr="00124B9D" w:rsidRDefault="00970A09" w:rsidP="00970A09">
      <w:pPr>
        <w:pStyle w:val="BodyText"/>
      </w:pPr>
      <w:r w:rsidRPr="00124B9D">
        <w:t>Culvert sizes will be determined in accordance with the charts and methods contained in HDS 5 or from computer programs based on HDS 5</w:t>
      </w:r>
      <w:r w:rsidR="00F21652" w:rsidRPr="00124B9D">
        <w:t>, such as FHWA’s HY-8 culvert analysis program</w:t>
      </w:r>
      <w:r w:rsidRPr="00124B9D">
        <w:t>. Minimum culvert sizes shall be as follows:</w:t>
      </w:r>
    </w:p>
    <w:p w14:paraId="4E01C3EA" w14:textId="248160AD" w:rsidR="00970A09" w:rsidRPr="00124B9D" w:rsidRDefault="00970A09" w:rsidP="00970A09">
      <w:pPr>
        <w:pStyle w:val="ReportBullet1"/>
      </w:pPr>
      <w:r w:rsidRPr="00124B9D">
        <w:t xml:space="preserve">18-inch </w:t>
      </w:r>
      <w:r w:rsidR="007574FB" w:rsidRPr="00124B9D">
        <w:t>p</w:t>
      </w:r>
      <w:r w:rsidRPr="00124B9D">
        <w:t xml:space="preserve">ipes for </w:t>
      </w:r>
      <w:r w:rsidR="007574FB" w:rsidRPr="00124B9D">
        <w:t>r</w:t>
      </w:r>
      <w:r w:rsidRPr="00124B9D">
        <w:t>oadways</w:t>
      </w:r>
    </w:p>
    <w:p w14:paraId="34C5C2BD" w14:textId="7F699D9E" w:rsidR="00970A09" w:rsidRPr="00124B9D" w:rsidRDefault="00970A09" w:rsidP="00970A09">
      <w:pPr>
        <w:pStyle w:val="ReportBullet1"/>
      </w:pPr>
      <w:r w:rsidRPr="00124B9D">
        <w:t xml:space="preserve">15-inch </w:t>
      </w:r>
      <w:r w:rsidR="007574FB" w:rsidRPr="00124B9D">
        <w:t>pi</w:t>
      </w:r>
      <w:r w:rsidRPr="00124B9D">
        <w:t xml:space="preserve">pes for </w:t>
      </w:r>
      <w:r w:rsidR="007574FB" w:rsidRPr="00124B9D">
        <w:t>d</w:t>
      </w:r>
      <w:r w:rsidRPr="00124B9D">
        <w:t>riveways</w:t>
      </w:r>
    </w:p>
    <w:p w14:paraId="21CC95F1" w14:textId="629CA6DE" w:rsidR="00970A09" w:rsidRPr="00124B9D" w:rsidRDefault="00970A09" w:rsidP="00D11DF0">
      <w:pPr>
        <w:pStyle w:val="ReportBullet1LAST"/>
      </w:pPr>
      <w:r w:rsidRPr="00124B9D">
        <w:t xml:space="preserve">4-feet by 4-feet for </w:t>
      </w:r>
      <w:r w:rsidR="007574FB" w:rsidRPr="00124B9D">
        <w:t>b</w:t>
      </w:r>
      <w:r w:rsidRPr="00124B9D">
        <w:t xml:space="preserve">ox </w:t>
      </w:r>
      <w:r w:rsidR="007574FB" w:rsidRPr="00124B9D">
        <w:t>c</w:t>
      </w:r>
      <w:r w:rsidRPr="00124B9D">
        <w:t>ulverts</w:t>
      </w:r>
    </w:p>
    <w:p w14:paraId="40A10AC1" w14:textId="77777777" w:rsidR="00970A09" w:rsidRPr="00124B9D" w:rsidRDefault="00970A09" w:rsidP="00970A09">
      <w:pPr>
        <w:pStyle w:val="Heading3"/>
      </w:pPr>
      <w:bookmarkStart w:id="14" w:name="_Toc46399133"/>
      <w:r w:rsidRPr="00124B9D">
        <w:t>Manning’s n Values</w:t>
      </w:r>
      <w:bookmarkEnd w:id="14"/>
    </w:p>
    <w:p w14:paraId="7C4418E0" w14:textId="0EA2880F" w:rsidR="00887119" w:rsidRPr="00124B9D" w:rsidRDefault="00970A09" w:rsidP="007574FB">
      <w:pPr>
        <w:pStyle w:val="BodyText"/>
      </w:pPr>
      <w:r w:rsidRPr="00124B9D">
        <w:t xml:space="preserve">The recommended Manning’s n value for design purposes when using corrugated pipe is 0.024. The </w:t>
      </w:r>
      <w:r w:rsidR="00C62B23" w:rsidRPr="00124B9D">
        <w:t>recommended</w:t>
      </w:r>
      <w:r w:rsidRPr="00124B9D">
        <w:t xml:space="preserve"> Manning’s n value for smooth interior pipes is 0.012. When it is necessary to determine the true magnitude of the pipe outlet flow velocity, designers should use the actual Manning’s n value recommended by the manufacturer to perform computations. When both corrugated and smooth pipe are selected as options, the designer shall use a Manning’s n value of 0.024. A Manning’s n value of 0.012 shall be used when only smooth interior pipe is specified.</w:t>
      </w:r>
    </w:p>
    <w:p w14:paraId="6DB5ABA2" w14:textId="2EBA6B24" w:rsidR="006C038D" w:rsidRPr="00124B9D" w:rsidRDefault="002708FD" w:rsidP="00314763">
      <w:pPr>
        <w:pStyle w:val="Heading3"/>
      </w:pPr>
      <w:bookmarkStart w:id="15" w:name="_Toc46399134"/>
      <w:r w:rsidRPr="00124B9D">
        <w:t>Length, Slope</w:t>
      </w:r>
      <w:r w:rsidR="007574FB" w:rsidRPr="00124B9D">
        <w:t>,</w:t>
      </w:r>
      <w:r w:rsidRPr="00124B9D">
        <w:t xml:space="preserve"> and Alignment</w:t>
      </w:r>
      <w:bookmarkEnd w:id="15"/>
    </w:p>
    <w:p w14:paraId="6A55211E" w14:textId="40AD0B69" w:rsidR="002708FD" w:rsidRPr="00124B9D" w:rsidRDefault="002708FD" w:rsidP="002708FD">
      <w:pPr>
        <w:pStyle w:val="BodyText"/>
      </w:pPr>
      <w:r w:rsidRPr="00124B9D">
        <w:t xml:space="preserve">Since the capacity of culverts in outlet control will be affected by the length of the culvert, their length should be kept to a minimum and existing facilities shall not be extended without determining the decrease in capacity that may occur. In addition, the culvert length and slope should be chosen to generally match existing topography. </w:t>
      </w:r>
    </w:p>
    <w:p w14:paraId="1AA70344" w14:textId="196DCC3D" w:rsidR="002708FD" w:rsidRPr="00124B9D" w:rsidRDefault="002708FD" w:rsidP="002708FD">
      <w:pPr>
        <w:pStyle w:val="BodyText"/>
      </w:pPr>
      <w:r w:rsidRPr="00124B9D">
        <w:t>To the degree practicable, the culvert invert should be aligned with the channel bottom and the skew angle of the stream</w:t>
      </w:r>
      <w:r w:rsidR="001E2617" w:rsidRPr="00124B9D">
        <w:t>.</w:t>
      </w:r>
      <w:r w:rsidRPr="00124B9D">
        <w:t xml:space="preserve"> The culvert entrance should fit with the geometry of the roadway embankment. Culvert skews shall not exceed 45 degrees as measured from a line perpendicular to the roadway centerline without approval of the City.</w:t>
      </w:r>
    </w:p>
    <w:p w14:paraId="244105D8" w14:textId="7F5F9EB8" w:rsidR="001E2617" w:rsidRPr="00124B9D" w:rsidRDefault="001E2617" w:rsidP="001E2617">
      <w:pPr>
        <w:pStyle w:val="Heading3"/>
      </w:pPr>
      <w:bookmarkStart w:id="16" w:name="_Toc46399135"/>
      <w:r w:rsidRPr="00124B9D">
        <w:t>Multiple Barrels and Spans</w:t>
      </w:r>
      <w:bookmarkEnd w:id="16"/>
    </w:p>
    <w:p w14:paraId="4835B28A" w14:textId="77204743" w:rsidR="001E2617" w:rsidRPr="00124B9D" w:rsidRDefault="001E2617" w:rsidP="001E2617">
      <w:pPr>
        <w:pStyle w:val="BodyText"/>
      </w:pPr>
      <w:r w:rsidRPr="00124B9D">
        <w:t xml:space="preserve">In the case of box culverts, it is usually more economical to use a multiple span structure than a wide single span, due to a reduction in the thickness of the top slab. In some locations, multiple spans tend to catch debris and clog the waterway. They are also susceptible to ice jams and the deposition of silt in one or more spans. Alignment of the culvert face normal to the approach flow and installation of debris control structures can help to alleviate these problems.  </w:t>
      </w:r>
    </w:p>
    <w:p w14:paraId="5A68BBB9" w14:textId="0AAC80E2" w:rsidR="001E2617" w:rsidRPr="00124B9D" w:rsidRDefault="001E2617" w:rsidP="001E2617">
      <w:pPr>
        <w:pStyle w:val="BodyText"/>
      </w:pPr>
      <w:r w:rsidRPr="00124B9D">
        <w:t xml:space="preserve">In the case of pipe culverts, multiple pipe installations often exhibit settlement after construction. Use of multiple pipes should be avoided whenever possible. However, if multiple pipes are used, sufficient space between pipes must be provided to allow proper backfill and compaction to eliminate the settlement problem. Multiple pipe installations should desirably have </w:t>
      </w:r>
      <w:r w:rsidR="007574FB" w:rsidRPr="00124B9D">
        <w:t>5</w:t>
      </w:r>
      <w:r w:rsidRPr="00124B9D">
        <w:t xml:space="preserve"> feet or greater clearance from outside of </w:t>
      </w:r>
      <w:r w:rsidRPr="00124B9D">
        <w:lastRenderedPageBreak/>
        <w:t xml:space="preserve">pipe to outside of pipe. Backfill material for the minimum clear spacing of </w:t>
      </w:r>
      <w:r w:rsidR="00D82491" w:rsidRPr="00124B9D">
        <w:t>one</w:t>
      </w:r>
      <w:r w:rsidRPr="00124B9D">
        <w:t xml:space="preserve"> foot shall be flowable fill. Proper indigenous soils may be used for backfill material where spacing is greater than </w:t>
      </w:r>
      <w:r w:rsidR="007574FB" w:rsidRPr="00124B9D">
        <w:t>5</w:t>
      </w:r>
      <w:r w:rsidRPr="00124B9D">
        <w:t xml:space="preserve"> feet. </w:t>
      </w:r>
    </w:p>
    <w:p w14:paraId="1258FF7E" w14:textId="219B0B66" w:rsidR="001E2617" w:rsidRPr="00124B9D" w:rsidRDefault="001E2617" w:rsidP="001E2617">
      <w:pPr>
        <w:pStyle w:val="BodyText"/>
      </w:pPr>
      <w:r w:rsidRPr="00124B9D">
        <w:t>Headwalls are preferred to flared end sections for multiple pipe installations where the headwall does not present an obstacle, (e.g.</w:t>
      </w:r>
      <w:r w:rsidR="007574FB" w:rsidRPr="00124B9D">
        <w:t>,</w:t>
      </w:r>
      <w:r w:rsidRPr="00124B9D">
        <w:t xml:space="preserve"> is outside the clear zone). Flared end sections are also available that permit </w:t>
      </w:r>
      <w:r w:rsidR="00D82491" w:rsidRPr="00124B9D">
        <w:t>one</w:t>
      </w:r>
      <w:r w:rsidRPr="00124B9D">
        <w:t xml:space="preserve"> f</w:t>
      </w:r>
      <w:r w:rsidR="00154260" w:rsidRPr="00124B9D">
        <w:t>oot</w:t>
      </w:r>
      <w:r w:rsidRPr="00124B9D">
        <w:t xml:space="preserve"> minimum clear spacing between pipes.</w:t>
      </w:r>
    </w:p>
    <w:p w14:paraId="41270CEA" w14:textId="1A0E61BD" w:rsidR="00154260" w:rsidRPr="00124B9D" w:rsidRDefault="00F21E7B" w:rsidP="00F21E7B">
      <w:pPr>
        <w:pStyle w:val="Heading3"/>
      </w:pPr>
      <w:bookmarkStart w:id="17" w:name="_Ref46391500"/>
      <w:bookmarkStart w:id="18" w:name="_Toc46399136"/>
      <w:r w:rsidRPr="00124B9D">
        <w:t>End Treatments</w:t>
      </w:r>
      <w:bookmarkEnd w:id="17"/>
      <w:bookmarkEnd w:id="18"/>
    </w:p>
    <w:p w14:paraId="17EE4EFB" w14:textId="4BC032B2" w:rsidR="00F21E7B" w:rsidRPr="00124B9D" w:rsidRDefault="001C381B" w:rsidP="00F21E7B">
      <w:pPr>
        <w:pStyle w:val="BodyText"/>
      </w:pPr>
      <w:r w:rsidRPr="00124B9D">
        <w:t>F</w:t>
      </w:r>
      <w:r w:rsidR="00F21E7B" w:rsidRPr="00124B9D">
        <w:t xml:space="preserve">lared end </w:t>
      </w:r>
      <w:r w:rsidR="0014084A" w:rsidRPr="00124B9D">
        <w:t>sections are</w:t>
      </w:r>
      <w:r w:rsidR="00F21E7B" w:rsidRPr="00124B9D">
        <w:t xml:space="preserve"> preferred over a headwall for </w:t>
      </w:r>
      <w:r w:rsidR="0014084A" w:rsidRPr="00124B9D">
        <w:t xml:space="preserve">single </w:t>
      </w:r>
      <w:r w:rsidR="00F21E7B" w:rsidRPr="00124B9D">
        <w:t xml:space="preserve">pipe culverts from a safety standpoint and shall be used whenever feasible. The material of the flared end section generally shall match the pipe material unless plastic pipe is used, which requires a metal flared end section. Flared end sections may prove to be unsatisfactory for skewed culverts with low fills and the use of a headwall may be necessary. Installation of flared end sections on multiple pipe installations is preferred over cast-in-place concrete headwalls within the </w:t>
      </w:r>
      <w:r w:rsidR="00F21D47" w:rsidRPr="00124B9D">
        <w:t>clear zone</w:t>
      </w:r>
      <w:r w:rsidR="00F21E7B" w:rsidRPr="00124B9D">
        <w:t xml:space="preserve">.  </w:t>
      </w:r>
    </w:p>
    <w:p w14:paraId="6F8FDB8D" w14:textId="047E878A" w:rsidR="00F21E7B" w:rsidRPr="00124B9D" w:rsidRDefault="00F21E7B" w:rsidP="00F21E7B">
      <w:pPr>
        <w:pStyle w:val="BodyText"/>
      </w:pPr>
      <w:r w:rsidRPr="00124B9D">
        <w:t xml:space="preserve">Headwalls may be used for:  </w:t>
      </w:r>
    </w:p>
    <w:p w14:paraId="7CE69B97" w14:textId="25D53A1D" w:rsidR="00F21E7B" w:rsidRPr="00124B9D" w:rsidRDefault="00F21E7B" w:rsidP="00F21E7B">
      <w:pPr>
        <w:pStyle w:val="ReportBullet1"/>
      </w:pPr>
      <w:r w:rsidRPr="00124B9D">
        <w:t xml:space="preserve">Multiple pipe installations. </w:t>
      </w:r>
    </w:p>
    <w:p w14:paraId="35EBFB4C" w14:textId="4791729D" w:rsidR="00F21E7B" w:rsidRPr="00124B9D" w:rsidRDefault="00F21E7B" w:rsidP="00F21E7B">
      <w:pPr>
        <w:pStyle w:val="ReportBullet1"/>
      </w:pPr>
      <w:r w:rsidRPr="00124B9D">
        <w:t xml:space="preserve">Culverts with skews of 30° or more. </w:t>
      </w:r>
    </w:p>
    <w:p w14:paraId="39146DCC" w14:textId="25FCC77A" w:rsidR="00F21E7B" w:rsidRPr="00124B9D" w:rsidRDefault="00F21E7B" w:rsidP="00F21E7B">
      <w:pPr>
        <w:pStyle w:val="ReportBullet1"/>
      </w:pPr>
      <w:r w:rsidRPr="00124B9D">
        <w:t xml:space="preserve">Culverts with slopes too steep for flared end sections. </w:t>
      </w:r>
    </w:p>
    <w:p w14:paraId="24AF0C33" w14:textId="7EBC803F" w:rsidR="00F21E7B" w:rsidRPr="00124B9D" w:rsidRDefault="00F21E7B" w:rsidP="00D11DF0">
      <w:pPr>
        <w:pStyle w:val="ReportBullet1LAST"/>
      </w:pPr>
      <w:r w:rsidRPr="00124B9D">
        <w:t xml:space="preserve">Broken-back culverts where the possibility of slippage exists (e.g., drop pipes in backslopes). </w:t>
      </w:r>
    </w:p>
    <w:p w14:paraId="7A239241" w14:textId="3905ABAB" w:rsidR="00F21E7B" w:rsidRPr="00124B9D" w:rsidRDefault="00F21E7B" w:rsidP="00F21E7B">
      <w:pPr>
        <w:pStyle w:val="BodyText"/>
      </w:pPr>
      <w:r w:rsidRPr="00124B9D">
        <w:t xml:space="preserve">Headwalls with a deeper footing are needed for culverts placed on steep grades or in areas of potential </w:t>
      </w:r>
      <w:r w:rsidR="00787FA1" w:rsidRPr="00124B9D">
        <w:t>head cutting</w:t>
      </w:r>
      <w:r w:rsidRPr="00124B9D">
        <w:t>.</w:t>
      </w:r>
    </w:p>
    <w:p w14:paraId="13DD470D" w14:textId="260C5D45" w:rsidR="005B23F7" w:rsidRPr="00124B9D" w:rsidRDefault="00A7716E" w:rsidP="005B23F7">
      <w:pPr>
        <w:pStyle w:val="Heading3"/>
      </w:pPr>
      <w:bookmarkStart w:id="19" w:name="_Toc46399137"/>
      <w:r w:rsidRPr="00124B9D">
        <w:t xml:space="preserve">Culvert </w:t>
      </w:r>
      <w:r w:rsidR="004647FE" w:rsidRPr="00124B9D">
        <w:t>Inlet</w:t>
      </w:r>
      <w:r w:rsidRPr="00124B9D">
        <w:t xml:space="preserve"> Configurations</w:t>
      </w:r>
      <w:bookmarkEnd w:id="19"/>
    </w:p>
    <w:p w14:paraId="1C7E6570" w14:textId="162032CC" w:rsidR="00A16FDE" w:rsidRPr="00124B9D" w:rsidRDefault="00A16FDE" w:rsidP="00A16FDE">
      <w:pPr>
        <w:pStyle w:val="BodyText"/>
      </w:pPr>
      <w:r w:rsidRPr="00124B9D">
        <w:t xml:space="preserve">The culvert </w:t>
      </w:r>
      <w:r w:rsidR="004647FE" w:rsidRPr="00124B9D">
        <w:t>inlet</w:t>
      </w:r>
      <w:r w:rsidRPr="00124B9D">
        <w:t xml:space="preserve"> configuration is the cross-sectional area and shape of the culvert face and the type of inlet edge. When a culvert operates in inlet control, headwater depth and the </w:t>
      </w:r>
      <w:r w:rsidR="004647FE" w:rsidRPr="00124B9D">
        <w:t>inlet</w:t>
      </w:r>
      <w:r w:rsidRPr="00124B9D">
        <w:t xml:space="preserve"> configuration determine the culvert capacity and the culvert barrel usually flows only partially full. </w:t>
      </w:r>
      <w:r w:rsidR="004647FE" w:rsidRPr="00124B9D">
        <w:t>Inlet</w:t>
      </w:r>
      <w:r w:rsidRPr="00124B9D">
        <w:t xml:space="preserve"> geometry refinements or inlet improvements can be used to reduce the contraction losses at the inlet and to increase the capacity of the culvert without increasing the headwater depth. </w:t>
      </w:r>
    </w:p>
    <w:p w14:paraId="475C318D" w14:textId="0B5691A6" w:rsidR="00A16FDE" w:rsidRPr="00124B9D" w:rsidRDefault="00A16FDE" w:rsidP="00A16FDE">
      <w:pPr>
        <w:pStyle w:val="BodyText"/>
      </w:pPr>
      <w:r w:rsidRPr="00124B9D">
        <w:t xml:space="preserve">Culverts operating in outlet control usually flow full at the design flow rate. Therefore, inlet improvements on these culverts only reduce the entrance loss coefficient, which results in only a small decrease in the required headwater elevation. </w:t>
      </w:r>
    </w:p>
    <w:p w14:paraId="735BBF44" w14:textId="339EDF87" w:rsidR="004647FE" w:rsidRPr="00124B9D" w:rsidRDefault="004647FE" w:rsidP="004647FE">
      <w:pPr>
        <w:pStyle w:val="BodyText"/>
        <w:tabs>
          <w:tab w:val="left" w:pos="5880"/>
        </w:tabs>
      </w:pPr>
      <w:r w:rsidRPr="00124B9D">
        <w:t>Common conventional culvert inlets include projecting inlets, groove-end projecting inlets, square-edge inlets in a headwall with wingwalls, mitered inlets with slope paving and flared</w:t>
      </w:r>
      <w:r w:rsidR="00831FB1" w:rsidRPr="00124B9D">
        <w:t xml:space="preserve"> </w:t>
      </w:r>
      <w:r w:rsidRPr="00124B9D">
        <w:t>end inlets. Recommended entrance loss coefficients for inlets can be found in Table 5-2.</w:t>
      </w:r>
    </w:p>
    <w:p w14:paraId="0E4877DE" w14:textId="77777777" w:rsidR="00562CF5" w:rsidRPr="00124B9D" w:rsidRDefault="00562CF5">
      <w:pPr>
        <w:rPr>
          <w:b/>
          <w:color w:val="425563"/>
          <w:spacing w:val="30"/>
        </w:rPr>
      </w:pPr>
      <w:r w:rsidRPr="00124B9D">
        <w:br w:type="page"/>
      </w:r>
    </w:p>
    <w:p w14:paraId="0911C2F3" w14:textId="009A32A3" w:rsidR="00562CF5" w:rsidRPr="00124B9D" w:rsidRDefault="00562CF5" w:rsidP="00562CF5">
      <w:pPr>
        <w:pStyle w:val="TableCaptionTitle"/>
      </w:pPr>
      <w:r w:rsidRPr="00124B9D">
        <w:lastRenderedPageBreak/>
        <w:t xml:space="preserve">Table </w:t>
      </w:r>
      <w:r w:rsidR="00EE6772">
        <w:fldChar w:fldCharType="begin"/>
      </w:r>
      <w:r w:rsidR="00EE6772">
        <w:instrText xml:space="preserve"> STYLEREF 1 \s </w:instrText>
      </w:r>
      <w:r w:rsidR="00EE6772">
        <w:fldChar w:fldCharType="separate"/>
      </w:r>
      <w:r w:rsidR="00D11DF0" w:rsidRPr="00124B9D">
        <w:t>5</w:t>
      </w:r>
      <w:r w:rsidR="00EE6772">
        <w:fldChar w:fldCharType="end"/>
      </w:r>
      <w:r w:rsidR="00D11DF0" w:rsidRPr="00124B9D">
        <w:noBreakHyphen/>
      </w:r>
      <w:r w:rsidR="00EE6772">
        <w:fldChar w:fldCharType="begin"/>
      </w:r>
      <w:r w:rsidR="00EE6772">
        <w:instrText xml:space="preserve"> SEQ Table \* ARABIC \s 1 </w:instrText>
      </w:r>
      <w:r w:rsidR="00EE6772">
        <w:fldChar w:fldCharType="separate"/>
      </w:r>
      <w:r w:rsidR="00D11DF0" w:rsidRPr="00124B9D">
        <w:t>3</w:t>
      </w:r>
      <w:r w:rsidR="00EE6772">
        <w:fldChar w:fldCharType="end"/>
      </w:r>
      <w:r w:rsidRPr="00124B9D">
        <w:t>.</w:t>
      </w:r>
      <w:r w:rsidRPr="00124B9D">
        <w:tab/>
        <w:t>Entrance Loss Coefficients, Outlet Control</w:t>
      </w:r>
    </w:p>
    <w:tbl>
      <w:tblPr>
        <w:tblStyle w:val="TableGrid"/>
        <w:tblW w:w="0" w:type="auto"/>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2430"/>
        <w:gridCol w:w="5220"/>
        <w:gridCol w:w="1700"/>
      </w:tblGrid>
      <w:tr w:rsidR="00562CF5" w:rsidRPr="00124B9D" w14:paraId="39B0CC32" w14:textId="77777777" w:rsidTr="00562CF5">
        <w:tc>
          <w:tcPr>
            <w:tcW w:w="7650" w:type="dxa"/>
            <w:gridSpan w:val="2"/>
            <w:shd w:val="clear" w:color="auto" w:fill="00677F"/>
          </w:tcPr>
          <w:p w14:paraId="3F94779F" w14:textId="3D49EA63" w:rsidR="00562CF5" w:rsidRPr="00124B9D" w:rsidRDefault="00562CF5" w:rsidP="00A57DB8">
            <w:pPr>
              <w:pStyle w:val="TableHeading"/>
            </w:pPr>
            <w:r w:rsidRPr="00124B9D">
              <w:t>Type of Structure and Design of Entrance</w:t>
            </w:r>
          </w:p>
        </w:tc>
        <w:tc>
          <w:tcPr>
            <w:tcW w:w="1700" w:type="dxa"/>
            <w:shd w:val="clear" w:color="auto" w:fill="00677F"/>
          </w:tcPr>
          <w:p w14:paraId="3DBDE96D" w14:textId="5A63348F" w:rsidR="00562CF5" w:rsidRPr="00124B9D" w:rsidRDefault="00562CF5" w:rsidP="00A57DB8">
            <w:pPr>
              <w:pStyle w:val="TableHeading"/>
            </w:pPr>
            <w:r w:rsidRPr="00124B9D">
              <w:t>Coefficient, K</w:t>
            </w:r>
            <w:r w:rsidRPr="00124B9D">
              <w:rPr>
                <w:vertAlign w:val="subscript"/>
              </w:rPr>
              <w:t>e</w:t>
            </w:r>
          </w:p>
        </w:tc>
      </w:tr>
      <w:tr w:rsidR="00562CF5" w:rsidRPr="00124B9D" w14:paraId="51AC4FDD" w14:textId="77777777" w:rsidTr="00562CF5">
        <w:tc>
          <w:tcPr>
            <w:tcW w:w="2430" w:type="dxa"/>
            <w:vMerge w:val="restart"/>
            <w:vAlign w:val="center"/>
          </w:tcPr>
          <w:p w14:paraId="7C0405CB" w14:textId="2E9306F6" w:rsidR="00562CF5" w:rsidRPr="00124B9D" w:rsidRDefault="00562CF5" w:rsidP="00562CF5">
            <w:pPr>
              <w:pStyle w:val="TableText"/>
            </w:pPr>
            <w:r w:rsidRPr="00124B9D">
              <w:t>Pipe, Concrete</w:t>
            </w:r>
          </w:p>
        </w:tc>
        <w:tc>
          <w:tcPr>
            <w:tcW w:w="5220" w:type="dxa"/>
            <w:vAlign w:val="center"/>
          </w:tcPr>
          <w:p w14:paraId="415F3289" w14:textId="4B7DA864" w:rsidR="00562CF5" w:rsidRPr="00124B9D" w:rsidRDefault="00562CF5" w:rsidP="00562CF5">
            <w:pPr>
              <w:pStyle w:val="TableText"/>
            </w:pPr>
            <w:r w:rsidRPr="00124B9D">
              <w:t>Projecting from Fill, Socket End (Groove-end)</w:t>
            </w:r>
          </w:p>
        </w:tc>
        <w:tc>
          <w:tcPr>
            <w:tcW w:w="1700" w:type="dxa"/>
            <w:vAlign w:val="center"/>
          </w:tcPr>
          <w:p w14:paraId="7C2279EC" w14:textId="74C8B883" w:rsidR="00562CF5" w:rsidRPr="00124B9D" w:rsidRDefault="00A57DB8" w:rsidP="00562CF5">
            <w:pPr>
              <w:pStyle w:val="TableText"/>
              <w:jc w:val="center"/>
            </w:pPr>
            <w:r w:rsidRPr="00124B9D">
              <w:t>0.2</w:t>
            </w:r>
          </w:p>
        </w:tc>
      </w:tr>
      <w:tr w:rsidR="00562CF5" w:rsidRPr="00124B9D" w14:paraId="7038B6E9" w14:textId="77777777" w:rsidTr="00562CF5">
        <w:tc>
          <w:tcPr>
            <w:tcW w:w="2430" w:type="dxa"/>
            <w:vMerge/>
            <w:vAlign w:val="center"/>
          </w:tcPr>
          <w:p w14:paraId="5A80B84F" w14:textId="77777777" w:rsidR="00562CF5" w:rsidRPr="00124B9D" w:rsidRDefault="00562CF5" w:rsidP="00562CF5">
            <w:pPr>
              <w:pStyle w:val="TableText"/>
            </w:pPr>
          </w:p>
        </w:tc>
        <w:tc>
          <w:tcPr>
            <w:tcW w:w="5220" w:type="dxa"/>
            <w:vAlign w:val="center"/>
          </w:tcPr>
          <w:p w14:paraId="172BA58A" w14:textId="38773AAA" w:rsidR="00562CF5" w:rsidRPr="00124B9D" w:rsidRDefault="00562CF5" w:rsidP="00562CF5">
            <w:pPr>
              <w:pStyle w:val="TableText"/>
            </w:pPr>
            <w:r w:rsidRPr="00124B9D">
              <w:t>Project from Fill, Square Cut End</w:t>
            </w:r>
          </w:p>
        </w:tc>
        <w:tc>
          <w:tcPr>
            <w:tcW w:w="1700" w:type="dxa"/>
            <w:vAlign w:val="center"/>
          </w:tcPr>
          <w:p w14:paraId="007A55C2" w14:textId="3EF782BB" w:rsidR="00562CF5" w:rsidRPr="00124B9D" w:rsidRDefault="00A57DB8" w:rsidP="00562CF5">
            <w:pPr>
              <w:pStyle w:val="TableText"/>
              <w:jc w:val="center"/>
            </w:pPr>
            <w:r w:rsidRPr="00124B9D">
              <w:t>0.5</w:t>
            </w:r>
          </w:p>
        </w:tc>
      </w:tr>
      <w:tr w:rsidR="00831FB1" w:rsidRPr="00124B9D" w14:paraId="22D75E72" w14:textId="77777777" w:rsidTr="00831FB1">
        <w:tc>
          <w:tcPr>
            <w:tcW w:w="2430" w:type="dxa"/>
            <w:vMerge/>
            <w:vAlign w:val="center"/>
          </w:tcPr>
          <w:p w14:paraId="584DE16D" w14:textId="77777777" w:rsidR="00831FB1" w:rsidRPr="00124B9D" w:rsidRDefault="00831FB1" w:rsidP="00562CF5">
            <w:pPr>
              <w:pStyle w:val="TableText"/>
            </w:pPr>
          </w:p>
        </w:tc>
        <w:tc>
          <w:tcPr>
            <w:tcW w:w="6920" w:type="dxa"/>
            <w:gridSpan w:val="2"/>
            <w:vAlign w:val="center"/>
          </w:tcPr>
          <w:p w14:paraId="7ED740A1" w14:textId="7E3A4CBA" w:rsidR="00831FB1" w:rsidRPr="00124B9D" w:rsidRDefault="00831FB1" w:rsidP="00831FB1">
            <w:pPr>
              <w:pStyle w:val="TableText"/>
            </w:pPr>
            <w:r w:rsidRPr="00124B9D">
              <w:t>Headwall or Headwall and Wingwalls</w:t>
            </w:r>
          </w:p>
        </w:tc>
      </w:tr>
      <w:tr w:rsidR="00562CF5" w:rsidRPr="00124B9D" w14:paraId="7B51B3B9" w14:textId="77777777" w:rsidTr="00562CF5">
        <w:tc>
          <w:tcPr>
            <w:tcW w:w="2430" w:type="dxa"/>
            <w:vMerge/>
            <w:vAlign w:val="center"/>
          </w:tcPr>
          <w:p w14:paraId="45890F4C" w14:textId="77777777" w:rsidR="00562CF5" w:rsidRPr="00124B9D" w:rsidRDefault="00562CF5" w:rsidP="00562CF5">
            <w:pPr>
              <w:pStyle w:val="TableText"/>
            </w:pPr>
          </w:p>
        </w:tc>
        <w:tc>
          <w:tcPr>
            <w:tcW w:w="5220" w:type="dxa"/>
            <w:vAlign w:val="center"/>
          </w:tcPr>
          <w:p w14:paraId="361CA729" w14:textId="2510E4DB" w:rsidR="00562CF5" w:rsidRPr="00124B9D" w:rsidRDefault="00562CF5" w:rsidP="00831FB1">
            <w:pPr>
              <w:pStyle w:val="TableText"/>
              <w:ind w:left="256"/>
            </w:pPr>
            <w:r w:rsidRPr="00124B9D">
              <w:t>Socket End</w:t>
            </w:r>
            <w:r w:rsidR="00831FB1" w:rsidRPr="00124B9D">
              <w:t xml:space="preserve"> (Groove-End)</w:t>
            </w:r>
          </w:p>
        </w:tc>
        <w:tc>
          <w:tcPr>
            <w:tcW w:w="1700" w:type="dxa"/>
            <w:vAlign w:val="center"/>
          </w:tcPr>
          <w:p w14:paraId="04458D7D" w14:textId="2E274FC6" w:rsidR="00562CF5" w:rsidRPr="00124B9D" w:rsidRDefault="00A57DB8" w:rsidP="00562CF5">
            <w:pPr>
              <w:pStyle w:val="TableText"/>
              <w:jc w:val="center"/>
            </w:pPr>
            <w:r w:rsidRPr="00124B9D">
              <w:t>0.2</w:t>
            </w:r>
          </w:p>
        </w:tc>
      </w:tr>
      <w:tr w:rsidR="00562CF5" w:rsidRPr="00124B9D" w14:paraId="75AFA052" w14:textId="77777777" w:rsidTr="00562CF5">
        <w:tc>
          <w:tcPr>
            <w:tcW w:w="2430" w:type="dxa"/>
            <w:vMerge/>
            <w:vAlign w:val="center"/>
          </w:tcPr>
          <w:p w14:paraId="0868ACB5" w14:textId="77777777" w:rsidR="00562CF5" w:rsidRPr="00124B9D" w:rsidRDefault="00562CF5" w:rsidP="00562CF5">
            <w:pPr>
              <w:pStyle w:val="TableText"/>
            </w:pPr>
          </w:p>
        </w:tc>
        <w:tc>
          <w:tcPr>
            <w:tcW w:w="5220" w:type="dxa"/>
            <w:vAlign w:val="center"/>
          </w:tcPr>
          <w:p w14:paraId="32B64FD5" w14:textId="6375C8FC" w:rsidR="00562CF5" w:rsidRPr="00124B9D" w:rsidRDefault="00831FB1" w:rsidP="00831FB1">
            <w:pPr>
              <w:pStyle w:val="TableText"/>
              <w:ind w:left="256"/>
            </w:pPr>
            <w:r w:rsidRPr="00124B9D">
              <w:t>Square-edge</w:t>
            </w:r>
          </w:p>
        </w:tc>
        <w:tc>
          <w:tcPr>
            <w:tcW w:w="1700" w:type="dxa"/>
            <w:vAlign w:val="center"/>
          </w:tcPr>
          <w:p w14:paraId="17215B13" w14:textId="0D4F2DB0" w:rsidR="00562CF5" w:rsidRPr="00124B9D" w:rsidRDefault="00A57DB8" w:rsidP="00562CF5">
            <w:pPr>
              <w:pStyle w:val="TableText"/>
              <w:jc w:val="center"/>
            </w:pPr>
            <w:r w:rsidRPr="00124B9D">
              <w:t>0.5</w:t>
            </w:r>
          </w:p>
        </w:tc>
      </w:tr>
      <w:tr w:rsidR="00562CF5" w:rsidRPr="00124B9D" w14:paraId="4650961D" w14:textId="77777777" w:rsidTr="00562CF5">
        <w:tc>
          <w:tcPr>
            <w:tcW w:w="2430" w:type="dxa"/>
            <w:vMerge/>
            <w:vAlign w:val="center"/>
          </w:tcPr>
          <w:p w14:paraId="6DA6615F" w14:textId="77777777" w:rsidR="00562CF5" w:rsidRPr="00124B9D" w:rsidRDefault="00562CF5" w:rsidP="00562CF5">
            <w:pPr>
              <w:pStyle w:val="TableText"/>
            </w:pPr>
          </w:p>
        </w:tc>
        <w:tc>
          <w:tcPr>
            <w:tcW w:w="5220" w:type="dxa"/>
            <w:vAlign w:val="center"/>
          </w:tcPr>
          <w:p w14:paraId="22F275D2" w14:textId="096942A3" w:rsidR="00562CF5" w:rsidRPr="00124B9D" w:rsidRDefault="00831FB1" w:rsidP="007722E0">
            <w:pPr>
              <w:pStyle w:val="TableText"/>
              <w:ind w:left="256"/>
            </w:pPr>
            <w:r w:rsidRPr="00124B9D">
              <w:t>Rounded (Radius = D/12)</w:t>
            </w:r>
          </w:p>
        </w:tc>
        <w:tc>
          <w:tcPr>
            <w:tcW w:w="1700" w:type="dxa"/>
            <w:vAlign w:val="center"/>
          </w:tcPr>
          <w:p w14:paraId="4A9EB9F4" w14:textId="0A88468B" w:rsidR="00562CF5" w:rsidRPr="00124B9D" w:rsidRDefault="00A57DB8" w:rsidP="00562CF5">
            <w:pPr>
              <w:pStyle w:val="TableText"/>
              <w:jc w:val="center"/>
            </w:pPr>
            <w:r w:rsidRPr="00124B9D">
              <w:t>0.2</w:t>
            </w:r>
          </w:p>
        </w:tc>
      </w:tr>
      <w:tr w:rsidR="00562CF5" w:rsidRPr="00124B9D" w14:paraId="70A7D5FD" w14:textId="77777777" w:rsidTr="00562CF5">
        <w:tc>
          <w:tcPr>
            <w:tcW w:w="2430" w:type="dxa"/>
            <w:vMerge/>
            <w:vAlign w:val="center"/>
          </w:tcPr>
          <w:p w14:paraId="1C9BB386" w14:textId="77777777" w:rsidR="00562CF5" w:rsidRPr="00124B9D" w:rsidRDefault="00562CF5" w:rsidP="00562CF5">
            <w:pPr>
              <w:pStyle w:val="TableText"/>
            </w:pPr>
          </w:p>
        </w:tc>
        <w:tc>
          <w:tcPr>
            <w:tcW w:w="5220" w:type="dxa"/>
            <w:vAlign w:val="center"/>
          </w:tcPr>
          <w:p w14:paraId="1C42DF1E" w14:textId="7BB88D5C" w:rsidR="00831FB1" w:rsidRPr="00124B9D" w:rsidRDefault="00831FB1" w:rsidP="00562CF5">
            <w:pPr>
              <w:pStyle w:val="TableText"/>
            </w:pPr>
            <w:r w:rsidRPr="00124B9D">
              <w:t>Mitered to Conform to Fill Slope</w:t>
            </w:r>
          </w:p>
        </w:tc>
        <w:tc>
          <w:tcPr>
            <w:tcW w:w="1700" w:type="dxa"/>
            <w:vAlign w:val="center"/>
          </w:tcPr>
          <w:p w14:paraId="4C7647A8" w14:textId="7951EDEE" w:rsidR="00562CF5" w:rsidRPr="00124B9D" w:rsidRDefault="00A57DB8" w:rsidP="00562CF5">
            <w:pPr>
              <w:pStyle w:val="TableText"/>
              <w:jc w:val="center"/>
            </w:pPr>
            <w:r w:rsidRPr="00124B9D">
              <w:t>0.</w:t>
            </w:r>
            <w:r w:rsidR="00504150" w:rsidRPr="00124B9D">
              <w:t>7</w:t>
            </w:r>
          </w:p>
        </w:tc>
      </w:tr>
      <w:tr w:rsidR="00562CF5" w:rsidRPr="00124B9D" w14:paraId="0CFEEDD1" w14:textId="77777777" w:rsidTr="00562CF5">
        <w:tc>
          <w:tcPr>
            <w:tcW w:w="2430" w:type="dxa"/>
            <w:vMerge/>
            <w:vAlign w:val="center"/>
          </w:tcPr>
          <w:p w14:paraId="71C94291" w14:textId="77777777" w:rsidR="00562CF5" w:rsidRPr="00124B9D" w:rsidRDefault="00562CF5" w:rsidP="00562CF5">
            <w:pPr>
              <w:pStyle w:val="TableText"/>
            </w:pPr>
          </w:p>
        </w:tc>
        <w:tc>
          <w:tcPr>
            <w:tcW w:w="5220" w:type="dxa"/>
            <w:vAlign w:val="center"/>
          </w:tcPr>
          <w:p w14:paraId="510BB806" w14:textId="5D2F8ED8" w:rsidR="00562CF5" w:rsidRPr="00124B9D" w:rsidRDefault="00831FB1" w:rsidP="00562CF5">
            <w:pPr>
              <w:pStyle w:val="TableText"/>
            </w:pPr>
            <w:r w:rsidRPr="00124B9D">
              <w:t>*Flared End Section Conforming to Fill Slope</w:t>
            </w:r>
          </w:p>
        </w:tc>
        <w:tc>
          <w:tcPr>
            <w:tcW w:w="1700" w:type="dxa"/>
            <w:vAlign w:val="center"/>
          </w:tcPr>
          <w:p w14:paraId="499FA80E" w14:textId="5FC6CBE5" w:rsidR="00562CF5" w:rsidRPr="00124B9D" w:rsidRDefault="00A57DB8" w:rsidP="00562CF5">
            <w:pPr>
              <w:pStyle w:val="TableText"/>
              <w:jc w:val="center"/>
            </w:pPr>
            <w:r w:rsidRPr="00124B9D">
              <w:t>0.5</w:t>
            </w:r>
          </w:p>
        </w:tc>
      </w:tr>
      <w:tr w:rsidR="00562CF5" w:rsidRPr="00124B9D" w14:paraId="57A14B9C" w14:textId="77777777" w:rsidTr="00562CF5">
        <w:tc>
          <w:tcPr>
            <w:tcW w:w="2430" w:type="dxa"/>
            <w:vMerge/>
            <w:vAlign w:val="center"/>
          </w:tcPr>
          <w:p w14:paraId="2AF61E67" w14:textId="77777777" w:rsidR="00562CF5" w:rsidRPr="00124B9D" w:rsidRDefault="00562CF5" w:rsidP="00562CF5">
            <w:pPr>
              <w:pStyle w:val="TableText"/>
            </w:pPr>
          </w:p>
        </w:tc>
        <w:tc>
          <w:tcPr>
            <w:tcW w:w="5220" w:type="dxa"/>
            <w:vAlign w:val="center"/>
          </w:tcPr>
          <w:p w14:paraId="3EF92717" w14:textId="465EA985" w:rsidR="00562CF5" w:rsidRPr="00124B9D" w:rsidRDefault="00831FB1" w:rsidP="00562CF5">
            <w:pPr>
              <w:pStyle w:val="TableText"/>
            </w:pPr>
            <w:r w:rsidRPr="00124B9D">
              <w:t>Beveled Edges, 33.7</w:t>
            </w:r>
            <w:r w:rsidRPr="00124B9D">
              <w:rPr>
                <w:vertAlign w:val="superscript"/>
              </w:rPr>
              <w:t>o</w:t>
            </w:r>
            <w:r w:rsidRPr="00124B9D">
              <w:t xml:space="preserve"> or 45</w:t>
            </w:r>
            <w:r w:rsidRPr="00124B9D">
              <w:rPr>
                <w:vertAlign w:val="superscript"/>
              </w:rPr>
              <w:t>o</w:t>
            </w:r>
            <w:r w:rsidRPr="00124B9D">
              <w:t xml:space="preserve"> Bevels</w:t>
            </w:r>
          </w:p>
        </w:tc>
        <w:tc>
          <w:tcPr>
            <w:tcW w:w="1700" w:type="dxa"/>
            <w:vAlign w:val="center"/>
          </w:tcPr>
          <w:p w14:paraId="775D76BE" w14:textId="0C4BE14C" w:rsidR="00562CF5" w:rsidRPr="00124B9D" w:rsidRDefault="00A57DB8" w:rsidP="00562CF5">
            <w:pPr>
              <w:pStyle w:val="TableText"/>
              <w:jc w:val="center"/>
            </w:pPr>
            <w:r w:rsidRPr="00124B9D">
              <w:t>0.2</w:t>
            </w:r>
          </w:p>
        </w:tc>
      </w:tr>
      <w:tr w:rsidR="00562CF5" w:rsidRPr="00124B9D" w14:paraId="060274DC" w14:textId="77777777" w:rsidTr="00562CF5">
        <w:tc>
          <w:tcPr>
            <w:tcW w:w="2430" w:type="dxa"/>
            <w:vMerge/>
            <w:vAlign w:val="center"/>
          </w:tcPr>
          <w:p w14:paraId="61DE91C9" w14:textId="77777777" w:rsidR="00562CF5" w:rsidRPr="00124B9D" w:rsidRDefault="00562CF5" w:rsidP="00562CF5">
            <w:pPr>
              <w:pStyle w:val="TableText"/>
            </w:pPr>
          </w:p>
        </w:tc>
        <w:tc>
          <w:tcPr>
            <w:tcW w:w="5220" w:type="dxa"/>
            <w:vAlign w:val="center"/>
          </w:tcPr>
          <w:p w14:paraId="328BBE5C" w14:textId="0EFA8A21" w:rsidR="00562CF5" w:rsidRPr="00124B9D" w:rsidRDefault="00831FB1" w:rsidP="00562CF5">
            <w:pPr>
              <w:pStyle w:val="TableText"/>
            </w:pPr>
            <w:r w:rsidRPr="00124B9D">
              <w:t>Side- or Slope-tapered Inlets</w:t>
            </w:r>
          </w:p>
        </w:tc>
        <w:tc>
          <w:tcPr>
            <w:tcW w:w="1700" w:type="dxa"/>
            <w:vAlign w:val="center"/>
          </w:tcPr>
          <w:p w14:paraId="3612B04E" w14:textId="7AB6A19C" w:rsidR="00562CF5" w:rsidRPr="00124B9D" w:rsidRDefault="00A57DB8" w:rsidP="00562CF5">
            <w:pPr>
              <w:pStyle w:val="TableText"/>
              <w:jc w:val="center"/>
            </w:pPr>
            <w:r w:rsidRPr="00124B9D">
              <w:t>0.2</w:t>
            </w:r>
          </w:p>
        </w:tc>
      </w:tr>
      <w:tr w:rsidR="00562CF5" w:rsidRPr="00124B9D" w14:paraId="45066D3D" w14:textId="77777777" w:rsidTr="00562CF5">
        <w:tc>
          <w:tcPr>
            <w:tcW w:w="2430" w:type="dxa"/>
            <w:vMerge w:val="restart"/>
            <w:vAlign w:val="center"/>
          </w:tcPr>
          <w:p w14:paraId="2749CB34" w14:textId="16BED315" w:rsidR="00562CF5" w:rsidRPr="00124B9D" w:rsidRDefault="00562CF5" w:rsidP="00562CF5">
            <w:pPr>
              <w:pStyle w:val="TableText"/>
            </w:pPr>
            <w:r w:rsidRPr="00124B9D">
              <w:t>Pipe or Pipe-Arch, Corrugated Metal</w:t>
            </w:r>
          </w:p>
        </w:tc>
        <w:tc>
          <w:tcPr>
            <w:tcW w:w="5220" w:type="dxa"/>
            <w:vAlign w:val="center"/>
          </w:tcPr>
          <w:p w14:paraId="550554F8" w14:textId="5DF9D3C5" w:rsidR="00562CF5" w:rsidRPr="00124B9D" w:rsidRDefault="00831FB1" w:rsidP="00562CF5">
            <w:pPr>
              <w:pStyle w:val="TableText"/>
            </w:pPr>
            <w:r w:rsidRPr="00124B9D">
              <w:t>Projecting from Fill</w:t>
            </w:r>
          </w:p>
        </w:tc>
        <w:tc>
          <w:tcPr>
            <w:tcW w:w="1700" w:type="dxa"/>
            <w:vAlign w:val="center"/>
          </w:tcPr>
          <w:p w14:paraId="48998815" w14:textId="05D723CC" w:rsidR="00562CF5" w:rsidRPr="00124B9D" w:rsidRDefault="00A57DB8" w:rsidP="00562CF5">
            <w:pPr>
              <w:pStyle w:val="TableText"/>
              <w:jc w:val="center"/>
            </w:pPr>
            <w:r w:rsidRPr="00124B9D">
              <w:t>0.9</w:t>
            </w:r>
          </w:p>
        </w:tc>
      </w:tr>
      <w:tr w:rsidR="00562CF5" w:rsidRPr="00124B9D" w14:paraId="7790D727" w14:textId="77777777" w:rsidTr="00562CF5">
        <w:tc>
          <w:tcPr>
            <w:tcW w:w="2430" w:type="dxa"/>
            <w:vMerge/>
            <w:vAlign w:val="center"/>
          </w:tcPr>
          <w:p w14:paraId="22998E4F" w14:textId="03DED5DB" w:rsidR="00562CF5" w:rsidRPr="00124B9D" w:rsidRDefault="00562CF5" w:rsidP="00562CF5">
            <w:pPr>
              <w:pStyle w:val="TableText"/>
            </w:pPr>
          </w:p>
        </w:tc>
        <w:tc>
          <w:tcPr>
            <w:tcW w:w="5220" w:type="dxa"/>
            <w:vAlign w:val="center"/>
          </w:tcPr>
          <w:p w14:paraId="77F53BAC" w14:textId="0515A2B4" w:rsidR="00562CF5" w:rsidRPr="00124B9D" w:rsidRDefault="00831FB1" w:rsidP="00562CF5">
            <w:pPr>
              <w:pStyle w:val="TableText"/>
            </w:pPr>
            <w:r w:rsidRPr="00124B9D">
              <w:t>Headwall or Headwall and Wingwalls, Square-edge</w:t>
            </w:r>
          </w:p>
        </w:tc>
        <w:tc>
          <w:tcPr>
            <w:tcW w:w="1700" w:type="dxa"/>
            <w:vAlign w:val="center"/>
          </w:tcPr>
          <w:p w14:paraId="15FF208F" w14:textId="4113831B" w:rsidR="00562CF5" w:rsidRPr="00124B9D" w:rsidRDefault="00A57DB8" w:rsidP="00562CF5">
            <w:pPr>
              <w:pStyle w:val="TableText"/>
              <w:jc w:val="center"/>
            </w:pPr>
            <w:r w:rsidRPr="00124B9D">
              <w:t>0.5</w:t>
            </w:r>
          </w:p>
        </w:tc>
      </w:tr>
      <w:tr w:rsidR="00562CF5" w:rsidRPr="00124B9D" w14:paraId="19A90CD9" w14:textId="77777777" w:rsidTr="00562CF5">
        <w:tc>
          <w:tcPr>
            <w:tcW w:w="2430" w:type="dxa"/>
            <w:vMerge/>
            <w:vAlign w:val="center"/>
          </w:tcPr>
          <w:p w14:paraId="0A9ADEC5" w14:textId="4C99C4AE" w:rsidR="00562CF5" w:rsidRPr="00124B9D" w:rsidRDefault="00562CF5" w:rsidP="00562CF5">
            <w:pPr>
              <w:pStyle w:val="TableText"/>
            </w:pPr>
          </w:p>
        </w:tc>
        <w:tc>
          <w:tcPr>
            <w:tcW w:w="5220" w:type="dxa"/>
            <w:vAlign w:val="center"/>
          </w:tcPr>
          <w:p w14:paraId="7260D8BF" w14:textId="67F400ED" w:rsidR="00562CF5" w:rsidRPr="00124B9D" w:rsidRDefault="00831FB1" w:rsidP="00562CF5">
            <w:pPr>
              <w:pStyle w:val="TableText"/>
            </w:pPr>
            <w:r w:rsidRPr="00124B9D">
              <w:t>Mitered to Conform to Fill Slope, Paved or Unpaved</w:t>
            </w:r>
          </w:p>
        </w:tc>
        <w:tc>
          <w:tcPr>
            <w:tcW w:w="1700" w:type="dxa"/>
            <w:vAlign w:val="center"/>
          </w:tcPr>
          <w:p w14:paraId="08680589" w14:textId="38871E68" w:rsidR="00562CF5" w:rsidRPr="00124B9D" w:rsidRDefault="00A57DB8" w:rsidP="00562CF5">
            <w:pPr>
              <w:pStyle w:val="TableText"/>
              <w:jc w:val="center"/>
            </w:pPr>
            <w:r w:rsidRPr="00124B9D">
              <w:t>0.7</w:t>
            </w:r>
          </w:p>
        </w:tc>
      </w:tr>
      <w:tr w:rsidR="00562CF5" w:rsidRPr="00124B9D" w14:paraId="0AB6168E" w14:textId="77777777" w:rsidTr="00562CF5">
        <w:tc>
          <w:tcPr>
            <w:tcW w:w="2430" w:type="dxa"/>
            <w:vMerge/>
            <w:vAlign w:val="center"/>
          </w:tcPr>
          <w:p w14:paraId="4ACDF4C4" w14:textId="5537200E" w:rsidR="00562CF5" w:rsidRPr="00124B9D" w:rsidRDefault="00562CF5" w:rsidP="00562CF5">
            <w:pPr>
              <w:pStyle w:val="TableText"/>
            </w:pPr>
          </w:p>
        </w:tc>
        <w:tc>
          <w:tcPr>
            <w:tcW w:w="5220" w:type="dxa"/>
            <w:vAlign w:val="center"/>
          </w:tcPr>
          <w:p w14:paraId="5A33ECC7" w14:textId="00D916A3" w:rsidR="00562CF5" w:rsidRPr="00124B9D" w:rsidRDefault="00831FB1" w:rsidP="00562CF5">
            <w:pPr>
              <w:pStyle w:val="TableText"/>
            </w:pPr>
            <w:r w:rsidRPr="00124B9D">
              <w:t>*Flared End Section Conforming to Fill Slope</w:t>
            </w:r>
          </w:p>
        </w:tc>
        <w:tc>
          <w:tcPr>
            <w:tcW w:w="1700" w:type="dxa"/>
            <w:vAlign w:val="center"/>
          </w:tcPr>
          <w:p w14:paraId="150F6583" w14:textId="7A873697" w:rsidR="00562CF5" w:rsidRPr="00124B9D" w:rsidRDefault="00A57DB8" w:rsidP="00562CF5">
            <w:pPr>
              <w:pStyle w:val="TableText"/>
              <w:jc w:val="center"/>
            </w:pPr>
            <w:r w:rsidRPr="00124B9D">
              <w:t>0.5</w:t>
            </w:r>
          </w:p>
        </w:tc>
      </w:tr>
      <w:tr w:rsidR="00562CF5" w:rsidRPr="00124B9D" w14:paraId="4C0E43B2" w14:textId="77777777" w:rsidTr="00562CF5">
        <w:tc>
          <w:tcPr>
            <w:tcW w:w="2430" w:type="dxa"/>
            <w:vMerge/>
            <w:vAlign w:val="center"/>
          </w:tcPr>
          <w:p w14:paraId="4E966C96" w14:textId="2D44A730" w:rsidR="00562CF5" w:rsidRPr="00124B9D" w:rsidRDefault="00562CF5" w:rsidP="00562CF5">
            <w:pPr>
              <w:pStyle w:val="TableText"/>
            </w:pPr>
          </w:p>
        </w:tc>
        <w:tc>
          <w:tcPr>
            <w:tcW w:w="5220" w:type="dxa"/>
            <w:vAlign w:val="center"/>
          </w:tcPr>
          <w:p w14:paraId="7BD088D6" w14:textId="4CFE78D8" w:rsidR="00562CF5" w:rsidRPr="00124B9D" w:rsidRDefault="00831FB1" w:rsidP="00562CF5">
            <w:pPr>
              <w:pStyle w:val="TableText"/>
            </w:pPr>
            <w:r w:rsidRPr="00124B9D">
              <w:t>Beveled Edges, 33.7</w:t>
            </w:r>
            <w:r w:rsidRPr="00124B9D">
              <w:rPr>
                <w:vertAlign w:val="superscript"/>
              </w:rPr>
              <w:t>o</w:t>
            </w:r>
            <w:r w:rsidRPr="00124B9D">
              <w:t xml:space="preserve"> or 45</w:t>
            </w:r>
            <w:r w:rsidRPr="00124B9D">
              <w:rPr>
                <w:vertAlign w:val="superscript"/>
              </w:rPr>
              <w:t>o</w:t>
            </w:r>
            <w:r w:rsidRPr="00124B9D">
              <w:t xml:space="preserve"> Bevels</w:t>
            </w:r>
          </w:p>
        </w:tc>
        <w:tc>
          <w:tcPr>
            <w:tcW w:w="1700" w:type="dxa"/>
            <w:vAlign w:val="center"/>
          </w:tcPr>
          <w:p w14:paraId="0A1E6B7D" w14:textId="41E17DEC" w:rsidR="00562CF5" w:rsidRPr="00124B9D" w:rsidRDefault="00A57DB8" w:rsidP="00562CF5">
            <w:pPr>
              <w:pStyle w:val="TableText"/>
              <w:jc w:val="center"/>
            </w:pPr>
            <w:r w:rsidRPr="00124B9D">
              <w:t>0.2</w:t>
            </w:r>
          </w:p>
        </w:tc>
      </w:tr>
      <w:tr w:rsidR="00562CF5" w:rsidRPr="00124B9D" w14:paraId="69C5CFD6" w14:textId="77777777" w:rsidTr="00562CF5">
        <w:tc>
          <w:tcPr>
            <w:tcW w:w="2430" w:type="dxa"/>
            <w:vMerge/>
            <w:vAlign w:val="center"/>
          </w:tcPr>
          <w:p w14:paraId="5A47E0B9" w14:textId="1C060968" w:rsidR="00562CF5" w:rsidRPr="00124B9D" w:rsidRDefault="00562CF5" w:rsidP="00562CF5">
            <w:pPr>
              <w:pStyle w:val="TableText"/>
            </w:pPr>
          </w:p>
        </w:tc>
        <w:tc>
          <w:tcPr>
            <w:tcW w:w="5220" w:type="dxa"/>
            <w:vAlign w:val="center"/>
          </w:tcPr>
          <w:p w14:paraId="128509FA" w14:textId="3E274131" w:rsidR="00562CF5" w:rsidRPr="00124B9D" w:rsidRDefault="00831FB1" w:rsidP="00562CF5">
            <w:pPr>
              <w:pStyle w:val="TableText"/>
            </w:pPr>
            <w:r w:rsidRPr="00124B9D">
              <w:t>Side- or Slope-Tapered Inlet</w:t>
            </w:r>
          </w:p>
        </w:tc>
        <w:tc>
          <w:tcPr>
            <w:tcW w:w="1700" w:type="dxa"/>
            <w:vAlign w:val="center"/>
          </w:tcPr>
          <w:p w14:paraId="14DC7D76" w14:textId="510A4349" w:rsidR="00562CF5" w:rsidRPr="00124B9D" w:rsidRDefault="00A57DB8" w:rsidP="00562CF5">
            <w:pPr>
              <w:pStyle w:val="TableText"/>
              <w:jc w:val="center"/>
            </w:pPr>
            <w:r w:rsidRPr="00124B9D">
              <w:t>0.2</w:t>
            </w:r>
          </w:p>
        </w:tc>
      </w:tr>
      <w:tr w:rsidR="00831FB1" w:rsidRPr="00124B9D" w14:paraId="745233AE" w14:textId="77777777" w:rsidTr="00831FB1">
        <w:tc>
          <w:tcPr>
            <w:tcW w:w="2430" w:type="dxa"/>
            <w:vMerge w:val="restart"/>
            <w:vAlign w:val="center"/>
          </w:tcPr>
          <w:p w14:paraId="64C338E1" w14:textId="6C074C84" w:rsidR="00831FB1" w:rsidRPr="00124B9D" w:rsidRDefault="00831FB1" w:rsidP="00562CF5">
            <w:pPr>
              <w:pStyle w:val="TableText"/>
            </w:pPr>
            <w:r w:rsidRPr="00124B9D">
              <w:t>Box, Reinforced Concrete</w:t>
            </w:r>
          </w:p>
        </w:tc>
        <w:tc>
          <w:tcPr>
            <w:tcW w:w="6920" w:type="dxa"/>
            <w:gridSpan w:val="2"/>
            <w:vAlign w:val="center"/>
          </w:tcPr>
          <w:p w14:paraId="6D51C07C" w14:textId="1F917D2E" w:rsidR="00831FB1" w:rsidRPr="00124B9D" w:rsidRDefault="00831FB1" w:rsidP="00831FB1">
            <w:pPr>
              <w:pStyle w:val="TableText"/>
            </w:pPr>
            <w:r w:rsidRPr="00124B9D">
              <w:t>Headwall Parallel to Embankment (No Wingwalls)</w:t>
            </w:r>
          </w:p>
        </w:tc>
      </w:tr>
      <w:tr w:rsidR="00562CF5" w:rsidRPr="00124B9D" w14:paraId="29B686E3" w14:textId="77777777" w:rsidTr="00562CF5">
        <w:tc>
          <w:tcPr>
            <w:tcW w:w="2430" w:type="dxa"/>
            <w:vMerge/>
            <w:vAlign w:val="center"/>
          </w:tcPr>
          <w:p w14:paraId="30392EC2" w14:textId="77777777" w:rsidR="00562CF5" w:rsidRPr="00124B9D" w:rsidRDefault="00562CF5" w:rsidP="00562CF5">
            <w:pPr>
              <w:pStyle w:val="TableText"/>
            </w:pPr>
          </w:p>
        </w:tc>
        <w:tc>
          <w:tcPr>
            <w:tcW w:w="5220" w:type="dxa"/>
            <w:vAlign w:val="center"/>
          </w:tcPr>
          <w:p w14:paraId="1CC38E2A" w14:textId="708AD55F" w:rsidR="00562CF5" w:rsidRPr="00124B9D" w:rsidRDefault="00831FB1" w:rsidP="00831FB1">
            <w:pPr>
              <w:pStyle w:val="TableText"/>
              <w:ind w:left="256"/>
            </w:pPr>
            <w:r w:rsidRPr="00124B9D">
              <w:t>Square-edge on 3 Edges</w:t>
            </w:r>
          </w:p>
        </w:tc>
        <w:tc>
          <w:tcPr>
            <w:tcW w:w="1700" w:type="dxa"/>
            <w:vAlign w:val="center"/>
          </w:tcPr>
          <w:p w14:paraId="153191E4" w14:textId="787CA57A" w:rsidR="00562CF5" w:rsidRPr="00124B9D" w:rsidRDefault="00A57DB8" w:rsidP="00562CF5">
            <w:pPr>
              <w:pStyle w:val="TableText"/>
              <w:jc w:val="center"/>
            </w:pPr>
            <w:r w:rsidRPr="00124B9D">
              <w:t>0.5</w:t>
            </w:r>
          </w:p>
        </w:tc>
      </w:tr>
      <w:tr w:rsidR="00562CF5" w:rsidRPr="00124B9D" w14:paraId="7A16C89B" w14:textId="77777777" w:rsidTr="00562CF5">
        <w:tc>
          <w:tcPr>
            <w:tcW w:w="2430" w:type="dxa"/>
            <w:vMerge/>
            <w:vAlign w:val="center"/>
          </w:tcPr>
          <w:p w14:paraId="5A6168A3" w14:textId="77777777" w:rsidR="00562CF5" w:rsidRPr="00124B9D" w:rsidRDefault="00562CF5" w:rsidP="00562CF5">
            <w:pPr>
              <w:pStyle w:val="TableText"/>
            </w:pPr>
          </w:p>
        </w:tc>
        <w:tc>
          <w:tcPr>
            <w:tcW w:w="5220" w:type="dxa"/>
            <w:vAlign w:val="center"/>
          </w:tcPr>
          <w:p w14:paraId="65F81B91" w14:textId="05575E47" w:rsidR="00562CF5" w:rsidRPr="00124B9D" w:rsidRDefault="00831FB1" w:rsidP="00831FB1">
            <w:pPr>
              <w:pStyle w:val="TableText"/>
              <w:ind w:left="256"/>
            </w:pPr>
            <w:r w:rsidRPr="00124B9D">
              <w:t>Rounded on 3 Edges to Radius of D/12 or B/12 or Beveled Edge on 3 Sides</w:t>
            </w:r>
          </w:p>
        </w:tc>
        <w:tc>
          <w:tcPr>
            <w:tcW w:w="1700" w:type="dxa"/>
            <w:vAlign w:val="center"/>
          </w:tcPr>
          <w:p w14:paraId="7A466828" w14:textId="776B38E7" w:rsidR="00562CF5" w:rsidRPr="00124B9D" w:rsidRDefault="00A57DB8" w:rsidP="00562CF5">
            <w:pPr>
              <w:pStyle w:val="TableText"/>
              <w:jc w:val="center"/>
            </w:pPr>
            <w:r w:rsidRPr="00124B9D">
              <w:t>0.2</w:t>
            </w:r>
          </w:p>
        </w:tc>
      </w:tr>
      <w:tr w:rsidR="00A57DB8" w:rsidRPr="00124B9D" w14:paraId="605DA44C" w14:textId="77777777" w:rsidTr="00A57DB8">
        <w:tc>
          <w:tcPr>
            <w:tcW w:w="2430" w:type="dxa"/>
            <w:vMerge/>
            <w:vAlign w:val="center"/>
          </w:tcPr>
          <w:p w14:paraId="571AC8BC" w14:textId="77777777" w:rsidR="00A57DB8" w:rsidRPr="00124B9D" w:rsidRDefault="00A57DB8" w:rsidP="00562CF5">
            <w:pPr>
              <w:pStyle w:val="TableText"/>
            </w:pPr>
          </w:p>
        </w:tc>
        <w:tc>
          <w:tcPr>
            <w:tcW w:w="6920" w:type="dxa"/>
            <w:gridSpan w:val="2"/>
            <w:vAlign w:val="center"/>
          </w:tcPr>
          <w:p w14:paraId="734CB236" w14:textId="2BA4035A" w:rsidR="00A57DB8" w:rsidRPr="00124B9D" w:rsidRDefault="00A57DB8" w:rsidP="00A57DB8">
            <w:pPr>
              <w:pStyle w:val="TableText"/>
            </w:pPr>
            <w:r w:rsidRPr="00124B9D">
              <w:t>Wingwalls at 30</w:t>
            </w:r>
            <w:r w:rsidRPr="00124B9D">
              <w:rPr>
                <w:vertAlign w:val="superscript"/>
              </w:rPr>
              <w:t>o</w:t>
            </w:r>
            <w:r w:rsidRPr="00124B9D">
              <w:t xml:space="preserve"> to 75</w:t>
            </w:r>
            <w:r w:rsidRPr="00124B9D">
              <w:rPr>
                <w:vertAlign w:val="superscript"/>
              </w:rPr>
              <w:t>o</w:t>
            </w:r>
            <w:r w:rsidRPr="00124B9D">
              <w:t xml:space="preserve"> to Barrel</w:t>
            </w:r>
          </w:p>
        </w:tc>
      </w:tr>
      <w:tr w:rsidR="00562CF5" w:rsidRPr="00124B9D" w14:paraId="28DBE1F7" w14:textId="77777777" w:rsidTr="00562CF5">
        <w:tc>
          <w:tcPr>
            <w:tcW w:w="2430" w:type="dxa"/>
            <w:vMerge/>
            <w:vAlign w:val="center"/>
          </w:tcPr>
          <w:p w14:paraId="0374D9FF" w14:textId="77777777" w:rsidR="00562CF5" w:rsidRPr="00124B9D" w:rsidRDefault="00562CF5" w:rsidP="00562CF5">
            <w:pPr>
              <w:pStyle w:val="TableText"/>
            </w:pPr>
          </w:p>
        </w:tc>
        <w:tc>
          <w:tcPr>
            <w:tcW w:w="5220" w:type="dxa"/>
            <w:vAlign w:val="center"/>
          </w:tcPr>
          <w:p w14:paraId="34DBABB5" w14:textId="544C3C6B" w:rsidR="00562CF5" w:rsidRPr="00124B9D" w:rsidRDefault="00A57DB8" w:rsidP="00A57DB8">
            <w:pPr>
              <w:pStyle w:val="TableText"/>
              <w:ind w:left="256"/>
            </w:pPr>
            <w:r w:rsidRPr="00124B9D">
              <w:t>Square</w:t>
            </w:r>
            <w:r w:rsidR="00504150" w:rsidRPr="00124B9D">
              <w:t>-e</w:t>
            </w:r>
            <w:r w:rsidRPr="00124B9D">
              <w:t>dge at Crown</w:t>
            </w:r>
          </w:p>
        </w:tc>
        <w:tc>
          <w:tcPr>
            <w:tcW w:w="1700" w:type="dxa"/>
            <w:vAlign w:val="center"/>
          </w:tcPr>
          <w:p w14:paraId="6A570EB3" w14:textId="6DCAE42D" w:rsidR="00562CF5" w:rsidRPr="00124B9D" w:rsidRDefault="00A57DB8" w:rsidP="00562CF5">
            <w:pPr>
              <w:pStyle w:val="TableText"/>
              <w:jc w:val="center"/>
            </w:pPr>
            <w:r w:rsidRPr="00124B9D">
              <w:t>0.4</w:t>
            </w:r>
          </w:p>
        </w:tc>
      </w:tr>
      <w:tr w:rsidR="00562CF5" w:rsidRPr="00124B9D" w14:paraId="40A2DA13" w14:textId="77777777" w:rsidTr="00562CF5">
        <w:tc>
          <w:tcPr>
            <w:tcW w:w="2430" w:type="dxa"/>
            <w:vMerge/>
            <w:vAlign w:val="center"/>
          </w:tcPr>
          <w:p w14:paraId="16787AA7" w14:textId="77777777" w:rsidR="00562CF5" w:rsidRPr="00124B9D" w:rsidRDefault="00562CF5" w:rsidP="00562CF5">
            <w:pPr>
              <w:pStyle w:val="TableText"/>
            </w:pPr>
          </w:p>
        </w:tc>
        <w:tc>
          <w:tcPr>
            <w:tcW w:w="5220" w:type="dxa"/>
            <w:vAlign w:val="center"/>
          </w:tcPr>
          <w:p w14:paraId="27061BCE" w14:textId="4697E612" w:rsidR="00562CF5" w:rsidRPr="00124B9D" w:rsidRDefault="00A57DB8" w:rsidP="00A57DB8">
            <w:pPr>
              <w:pStyle w:val="TableText"/>
              <w:ind w:left="256"/>
            </w:pPr>
            <w:r w:rsidRPr="00124B9D">
              <w:t>Crown Edge Rounded to Radius of D/12 or Beveled</w:t>
            </w:r>
          </w:p>
        </w:tc>
        <w:tc>
          <w:tcPr>
            <w:tcW w:w="1700" w:type="dxa"/>
            <w:vAlign w:val="center"/>
          </w:tcPr>
          <w:p w14:paraId="30657E16" w14:textId="03D067E5" w:rsidR="00562CF5" w:rsidRPr="00124B9D" w:rsidRDefault="00A57DB8" w:rsidP="00562CF5">
            <w:pPr>
              <w:pStyle w:val="TableText"/>
              <w:jc w:val="center"/>
            </w:pPr>
            <w:r w:rsidRPr="00124B9D">
              <w:t>0.2</w:t>
            </w:r>
          </w:p>
        </w:tc>
      </w:tr>
      <w:tr w:rsidR="00A57DB8" w:rsidRPr="00124B9D" w14:paraId="4C504FD6" w14:textId="77777777" w:rsidTr="00562CF5">
        <w:tc>
          <w:tcPr>
            <w:tcW w:w="2430" w:type="dxa"/>
            <w:vMerge/>
            <w:vAlign w:val="center"/>
          </w:tcPr>
          <w:p w14:paraId="334427BB" w14:textId="77777777" w:rsidR="00A57DB8" w:rsidRPr="00124B9D" w:rsidRDefault="00A57DB8" w:rsidP="00562CF5">
            <w:pPr>
              <w:pStyle w:val="TableText"/>
            </w:pPr>
          </w:p>
        </w:tc>
        <w:tc>
          <w:tcPr>
            <w:tcW w:w="5220" w:type="dxa"/>
            <w:vAlign w:val="center"/>
          </w:tcPr>
          <w:p w14:paraId="58B4F112" w14:textId="0BB6B9BA" w:rsidR="00A57DB8" w:rsidRPr="00124B9D" w:rsidRDefault="00A57DB8" w:rsidP="00562CF5">
            <w:pPr>
              <w:pStyle w:val="TableText"/>
            </w:pPr>
            <w:r w:rsidRPr="00124B9D">
              <w:t>Wingwalls at 10</w:t>
            </w:r>
            <w:r w:rsidRPr="00124B9D">
              <w:rPr>
                <w:vertAlign w:val="superscript"/>
              </w:rPr>
              <w:t>o</w:t>
            </w:r>
            <w:r w:rsidRPr="00124B9D">
              <w:t xml:space="preserve"> to 25</w:t>
            </w:r>
            <w:r w:rsidRPr="00124B9D">
              <w:rPr>
                <w:vertAlign w:val="superscript"/>
              </w:rPr>
              <w:t>o</w:t>
            </w:r>
            <w:r w:rsidRPr="00124B9D">
              <w:t xml:space="preserve"> to Barrel, Squared-edge at Crown</w:t>
            </w:r>
          </w:p>
        </w:tc>
        <w:tc>
          <w:tcPr>
            <w:tcW w:w="1700" w:type="dxa"/>
            <w:vAlign w:val="center"/>
          </w:tcPr>
          <w:p w14:paraId="30912BF6" w14:textId="209E873B" w:rsidR="00A57DB8" w:rsidRPr="00124B9D" w:rsidRDefault="00A57DB8" w:rsidP="00562CF5">
            <w:pPr>
              <w:pStyle w:val="TableText"/>
              <w:jc w:val="center"/>
            </w:pPr>
            <w:r w:rsidRPr="00124B9D">
              <w:t>0.5</w:t>
            </w:r>
          </w:p>
        </w:tc>
      </w:tr>
      <w:tr w:rsidR="00A57DB8" w:rsidRPr="00124B9D" w14:paraId="6652809A" w14:textId="77777777" w:rsidTr="00A57DB8">
        <w:tc>
          <w:tcPr>
            <w:tcW w:w="2430" w:type="dxa"/>
            <w:vMerge/>
            <w:vAlign w:val="center"/>
          </w:tcPr>
          <w:p w14:paraId="4013ABEB" w14:textId="77777777" w:rsidR="00A57DB8" w:rsidRPr="00124B9D" w:rsidRDefault="00A57DB8" w:rsidP="00562CF5">
            <w:pPr>
              <w:pStyle w:val="TableText"/>
            </w:pPr>
          </w:p>
        </w:tc>
        <w:tc>
          <w:tcPr>
            <w:tcW w:w="6920" w:type="dxa"/>
            <w:gridSpan w:val="2"/>
            <w:vAlign w:val="center"/>
          </w:tcPr>
          <w:p w14:paraId="0870B167" w14:textId="151EAE57" w:rsidR="00A57DB8" w:rsidRPr="00124B9D" w:rsidRDefault="00A57DB8" w:rsidP="00A57DB8">
            <w:pPr>
              <w:pStyle w:val="TableText"/>
            </w:pPr>
            <w:r w:rsidRPr="00124B9D">
              <w:t>Wingwalls Parallel (Extension of Sides)</w:t>
            </w:r>
          </w:p>
        </w:tc>
      </w:tr>
      <w:tr w:rsidR="00A57DB8" w:rsidRPr="00124B9D" w14:paraId="4FCF5BBF" w14:textId="77777777" w:rsidTr="00562CF5">
        <w:tc>
          <w:tcPr>
            <w:tcW w:w="2430" w:type="dxa"/>
            <w:vMerge/>
            <w:vAlign w:val="center"/>
          </w:tcPr>
          <w:p w14:paraId="303FD25A" w14:textId="77777777" w:rsidR="00A57DB8" w:rsidRPr="00124B9D" w:rsidRDefault="00A57DB8" w:rsidP="00562CF5">
            <w:pPr>
              <w:pStyle w:val="TableText"/>
            </w:pPr>
          </w:p>
        </w:tc>
        <w:tc>
          <w:tcPr>
            <w:tcW w:w="5220" w:type="dxa"/>
            <w:vAlign w:val="center"/>
          </w:tcPr>
          <w:p w14:paraId="1B759140" w14:textId="10AD5931" w:rsidR="00A57DB8" w:rsidRPr="00124B9D" w:rsidRDefault="00A57DB8" w:rsidP="00A57DB8">
            <w:pPr>
              <w:pStyle w:val="TableText"/>
              <w:ind w:left="256"/>
            </w:pPr>
            <w:r w:rsidRPr="00124B9D">
              <w:t>Square-edge at Crown</w:t>
            </w:r>
          </w:p>
        </w:tc>
        <w:tc>
          <w:tcPr>
            <w:tcW w:w="1700" w:type="dxa"/>
            <w:vAlign w:val="center"/>
          </w:tcPr>
          <w:p w14:paraId="085213D4" w14:textId="67ED962F" w:rsidR="00A57DB8" w:rsidRPr="00124B9D" w:rsidRDefault="00A57DB8" w:rsidP="00562CF5">
            <w:pPr>
              <w:pStyle w:val="TableText"/>
              <w:jc w:val="center"/>
            </w:pPr>
            <w:r w:rsidRPr="00124B9D">
              <w:t>0.7</w:t>
            </w:r>
          </w:p>
        </w:tc>
      </w:tr>
      <w:tr w:rsidR="00A57DB8" w:rsidRPr="00124B9D" w14:paraId="7C321B8A" w14:textId="77777777" w:rsidTr="00706981">
        <w:tc>
          <w:tcPr>
            <w:tcW w:w="2430" w:type="dxa"/>
            <w:vMerge/>
            <w:tcBorders>
              <w:bottom w:val="single" w:sz="12" w:space="0" w:color="00677F" w:themeColor="accent3"/>
            </w:tcBorders>
            <w:vAlign w:val="center"/>
          </w:tcPr>
          <w:p w14:paraId="6FBC2EFB" w14:textId="77777777" w:rsidR="00A57DB8" w:rsidRPr="00124B9D" w:rsidRDefault="00A57DB8" w:rsidP="00562CF5">
            <w:pPr>
              <w:pStyle w:val="TableText"/>
            </w:pPr>
          </w:p>
        </w:tc>
        <w:tc>
          <w:tcPr>
            <w:tcW w:w="5220" w:type="dxa"/>
            <w:tcBorders>
              <w:bottom w:val="single" w:sz="12" w:space="0" w:color="00677F" w:themeColor="accent3"/>
            </w:tcBorders>
            <w:vAlign w:val="center"/>
          </w:tcPr>
          <w:p w14:paraId="21633498" w14:textId="70D2A9CE" w:rsidR="00A57DB8" w:rsidRPr="00124B9D" w:rsidRDefault="00A57DB8" w:rsidP="00A57DB8">
            <w:pPr>
              <w:pStyle w:val="TableText"/>
              <w:ind w:left="256"/>
            </w:pPr>
            <w:r w:rsidRPr="00124B9D">
              <w:t>Side- or Slope-tapered Inlet</w:t>
            </w:r>
          </w:p>
        </w:tc>
        <w:tc>
          <w:tcPr>
            <w:tcW w:w="1700" w:type="dxa"/>
            <w:tcBorders>
              <w:bottom w:val="single" w:sz="12" w:space="0" w:color="00677F" w:themeColor="accent3"/>
            </w:tcBorders>
            <w:vAlign w:val="center"/>
          </w:tcPr>
          <w:p w14:paraId="75E563C9" w14:textId="52CA740A" w:rsidR="00A57DB8" w:rsidRPr="00124B9D" w:rsidRDefault="00A57DB8" w:rsidP="00562CF5">
            <w:pPr>
              <w:pStyle w:val="TableText"/>
              <w:jc w:val="center"/>
            </w:pPr>
            <w:r w:rsidRPr="00124B9D">
              <w:t>0.2</w:t>
            </w:r>
          </w:p>
        </w:tc>
      </w:tr>
      <w:tr w:rsidR="00706981" w:rsidRPr="00124B9D" w14:paraId="24C86343" w14:textId="77777777" w:rsidTr="00706981">
        <w:tc>
          <w:tcPr>
            <w:tcW w:w="9350" w:type="dxa"/>
            <w:gridSpan w:val="3"/>
            <w:tcBorders>
              <w:top w:val="single" w:sz="12" w:space="0" w:color="00677F" w:themeColor="accent3"/>
              <w:bottom w:val="nil"/>
            </w:tcBorders>
            <w:vAlign w:val="center"/>
          </w:tcPr>
          <w:p w14:paraId="3392E0D7" w14:textId="4A8EB71B" w:rsidR="00706981" w:rsidRPr="00124B9D" w:rsidRDefault="00706981" w:rsidP="00706981">
            <w:pPr>
              <w:pStyle w:val="TableText"/>
              <w:spacing w:before="60" w:after="120"/>
            </w:pPr>
            <w:r w:rsidRPr="00124B9D">
              <w:t>*Note: Flared end sections conforming to fill slope, made of either metal or concrete, are the section commonly available from manufacturers. From limited hydraulic tests, they are equivalent in operation to a headwall in both inlet and outlet control. Some flared end sections incorporating a closed taper in their design have a superior hydraulic performance. These latter sections can be designed using the information given for the beveled inlet.</w:t>
            </w:r>
          </w:p>
        </w:tc>
      </w:tr>
    </w:tbl>
    <w:p w14:paraId="7B629615" w14:textId="77777777" w:rsidR="00887119" w:rsidRPr="00124B9D" w:rsidRDefault="00887119">
      <w:pPr>
        <w:rPr>
          <w:rFonts w:eastAsiaTheme="majorEastAsia" w:cstheme="majorBidi"/>
          <w:b/>
          <w:i/>
          <w:iCs/>
          <w:color w:val="B15533"/>
          <w:spacing w:val="30"/>
        </w:rPr>
      </w:pPr>
      <w:r w:rsidRPr="00124B9D">
        <w:br w:type="page"/>
      </w:r>
    </w:p>
    <w:p w14:paraId="3AE71D9B" w14:textId="7C58F2AB" w:rsidR="00E036CC" w:rsidRPr="00124B9D" w:rsidRDefault="00E036CC" w:rsidP="00931AA9">
      <w:pPr>
        <w:pStyle w:val="Heading4"/>
      </w:pPr>
      <w:r w:rsidRPr="00124B9D">
        <w:lastRenderedPageBreak/>
        <w:t>Improved Inlets</w:t>
      </w:r>
    </w:p>
    <w:p w14:paraId="1A1F3E89" w14:textId="6FBF1274" w:rsidR="005B23F7" w:rsidRPr="00124B9D" w:rsidRDefault="00A16FDE" w:rsidP="00A16FDE">
      <w:pPr>
        <w:pStyle w:val="BodyText"/>
      </w:pPr>
      <w:r w:rsidRPr="00124B9D">
        <w:t xml:space="preserve">Even though the construction of an improved inlet will increase the labor and material costs for the inlet portion of a new culvert, a substantial savings may be attained by a reduction in the size of the barrel </w:t>
      </w:r>
      <w:r w:rsidR="00AB2F81" w:rsidRPr="00124B9D">
        <w:t>that</w:t>
      </w:r>
      <w:r w:rsidRPr="00124B9D">
        <w:t xml:space="preserve"> represents the major portion of the structure. Improved inlets may also be installed on existing culverts with inadequate flow capacity, thus avoiding the replacement of the entire structure or the addition of a new parallel structure. The greatest savings usually result from the use of improved inlets on culverts with long barrels. Short barrels, however, should also be checked, especially when an improved inlet might increase the capacity sufficiently to avoid replacement of an existing structure.</w:t>
      </w:r>
    </w:p>
    <w:p w14:paraId="6A6E5FF3" w14:textId="61813F46" w:rsidR="00887119" w:rsidRPr="00124B9D" w:rsidRDefault="004647FE" w:rsidP="00931AA9">
      <w:pPr>
        <w:pStyle w:val="BodyText"/>
      </w:pPr>
      <w:r w:rsidRPr="00124B9D">
        <w:t>Improved inlets include bevel-edged, side-tapered</w:t>
      </w:r>
      <w:r w:rsidR="001603BF" w:rsidRPr="00124B9D">
        <w:t>,</w:t>
      </w:r>
      <w:r w:rsidRPr="00124B9D">
        <w:t xml:space="preserve"> and slope-tapered inlets. Additional information and design procedures for improved inlets can be found in HDS 5.</w:t>
      </w:r>
    </w:p>
    <w:p w14:paraId="3E3EC712" w14:textId="1024AF86" w:rsidR="00414D0B" w:rsidRPr="00124B9D" w:rsidRDefault="00414D0B" w:rsidP="00414D0B">
      <w:pPr>
        <w:pStyle w:val="Heading3"/>
      </w:pPr>
      <w:bookmarkStart w:id="20" w:name="_Toc46399138"/>
      <w:r w:rsidRPr="00124B9D">
        <w:t>Broken-back Culverts</w:t>
      </w:r>
      <w:bookmarkEnd w:id="20"/>
    </w:p>
    <w:p w14:paraId="63D36667" w14:textId="1033E6CD" w:rsidR="00414D0B" w:rsidRPr="00124B9D" w:rsidRDefault="00414D0B" w:rsidP="00414D0B">
      <w:pPr>
        <w:pStyle w:val="BodyText"/>
      </w:pPr>
      <w:r w:rsidRPr="00124B9D">
        <w:t>Abrupt changes in slope or direction are not typically desirable from a maintenance and construction standpoint. However, at locations where the inlet is substantially higher than the outlet, culverts referred to as “broken-back” (with either one or two breaks in the vertical alignment), are commonly constructed</w:t>
      </w:r>
      <w:r w:rsidR="008804E1" w:rsidRPr="00124B9D">
        <w:t xml:space="preserve"> to effectively control the drop in flow line and the </w:t>
      </w:r>
      <w:r w:rsidR="00314763" w:rsidRPr="00124B9D">
        <w:t>outlet velocity</w:t>
      </w:r>
      <w:r w:rsidRPr="00124B9D">
        <w:t>.</w:t>
      </w:r>
    </w:p>
    <w:p w14:paraId="70D2B1CE" w14:textId="0118B5A4" w:rsidR="00E64F0F" w:rsidRPr="00124B9D" w:rsidRDefault="00E64F0F" w:rsidP="00E64F0F">
      <w:pPr>
        <w:pStyle w:val="FigureCaptionTitle"/>
      </w:pPr>
      <w:bookmarkStart w:id="21" w:name="_Toc46399350"/>
      <w:r w:rsidRPr="00124B9D">
        <w:t xml:space="preserve">Figure </w:t>
      </w:r>
      <w:r w:rsidR="00EE6772">
        <w:fldChar w:fldCharType="begin"/>
      </w:r>
      <w:r w:rsidR="00EE6772">
        <w:instrText xml:space="preserve"> STYLEREF 1 \s </w:instrText>
      </w:r>
      <w:r w:rsidR="00EE6772">
        <w:fldChar w:fldCharType="separate"/>
      </w:r>
      <w:r w:rsidRPr="00124B9D">
        <w:t>5</w:t>
      </w:r>
      <w:r w:rsidR="00EE6772">
        <w:fldChar w:fldCharType="end"/>
      </w:r>
      <w:r w:rsidRPr="00124B9D">
        <w:noBreakHyphen/>
      </w:r>
      <w:r w:rsidR="00EE6772">
        <w:fldChar w:fldCharType="begin"/>
      </w:r>
      <w:r w:rsidR="00EE6772">
        <w:instrText xml:space="preserve"> SEQ Figure \* ARABIC \s 1 </w:instrText>
      </w:r>
      <w:r w:rsidR="00EE6772">
        <w:fldChar w:fldCharType="separate"/>
      </w:r>
      <w:r w:rsidR="00C21D3D" w:rsidRPr="00124B9D">
        <w:t>3</w:t>
      </w:r>
      <w:r w:rsidR="00EE6772">
        <w:fldChar w:fldCharType="end"/>
      </w:r>
      <w:r w:rsidRPr="00124B9D">
        <w:t>.</w:t>
      </w:r>
      <w:r w:rsidRPr="00124B9D">
        <w:tab/>
      </w:r>
      <w:r w:rsidR="00FB6998" w:rsidRPr="00124B9D">
        <w:t xml:space="preserve">Single </w:t>
      </w:r>
      <w:r w:rsidRPr="00124B9D">
        <w:t>Broken-back Culvert</w:t>
      </w:r>
      <w:bookmarkEnd w:id="21"/>
    </w:p>
    <w:p w14:paraId="32B55034" w14:textId="021A1AE5" w:rsidR="00E64F0F" w:rsidRPr="00124B9D" w:rsidRDefault="00FB6998" w:rsidP="00E64F0F">
      <w:pPr>
        <w:pStyle w:val="BodyText"/>
        <w:jc w:val="center"/>
      </w:pPr>
      <w:r w:rsidRPr="00124B9D">
        <w:rPr>
          <w:noProof/>
        </w:rPr>
        <w:drawing>
          <wp:inline distT="0" distB="0" distL="0" distR="0" wp14:anchorId="3BCDB9FF" wp14:editId="78D0A6D7">
            <wp:extent cx="5212080" cy="2797261"/>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2080" cy="2797261"/>
                    </a:xfrm>
                    <a:prstGeom prst="rect">
                      <a:avLst/>
                    </a:prstGeom>
                  </pic:spPr>
                </pic:pic>
              </a:graphicData>
            </a:graphic>
          </wp:inline>
        </w:drawing>
      </w:r>
    </w:p>
    <w:p w14:paraId="548DDB47" w14:textId="77777777" w:rsidR="00314763" w:rsidRPr="00124B9D" w:rsidRDefault="00314763">
      <w:pPr>
        <w:rPr>
          <w:b/>
          <w:color w:val="425563"/>
          <w:spacing w:val="30"/>
        </w:rPr>
      </w:pPr>
      <w:r w:rsidRPr="00124B9D">
        <w:br w:type="page"/>
      </w:r>
    </w:p>
    <w:p w14:paraId="65D91EC3" w14:textId="294B08AB" w:rsidR="00FB6998" w:rsidRPr="00124B9D" w:rsidRDefault="00FB6998" w:rsidP="00FB6998">
      <w:pPr>
        <w:pStyle w:val="FigureCaptionTitle"/>
      </w:pPr>
      <w:bookmarkStart w:id="22" w:name="_Toc46399351"/>
      <w:r w:rsidRPr="00124B9D">
        <w:lastRenderedPageBreak/>
        <w:t xml:space="preserve">Figure </w:t>
      </w:r>
      <w:r w:rsidR="00EE6772">
        <w:fldChar w:fldCharType="begin"/>
      </w:r>
      <w:r w:rsidR="00EE6772">
        <w:instrText xml:space="preserve"> STYLEREF 1 \s </w:instrText>
      </w:r>
      <w:r w:rsidR="00EE6772">
        <w:fldChar w:fldCharType="separate"/>
      </w:r>
      <w:r w:rsidRPr="00124B9D">
        <w:t>5</w:t>
      </w:r>
      <w:r w:rsidR="00EE6772">
        <w:fldChar w:fldCharType="end"/>
      </w:r>
      <w:r w:rsidRPr="00124B9D">
        <w:noBreakHyphen/>
      </w:r>
      <w:r w:rsidR="00EE6772">
        <w:fldChar w:fldCharType="begin"/>
      </w:r>
      <w:r w:rsidR="00EE6772">
        <w:instrText xml:space="preserve"> SEQ Figure \* ARABIC \s 1 </w:instrText>
      </w:r>
      <w:r w:rsidR="00EE6772">
        <w:fldChar w:fldCharType="separate"/>
      </w:r>
      <w:r w:rsidR="00C21D3D" w:rsidRPr="00124B9D">
        <w:t>4</w:t>
      </w:r>
      <w:r w:rsidR="00EE6772">
        <w:fldChar w:fldCharType="end"/>
      </w:r>
      <w:r w:rsidRPr="00124B9D">
        <w:t>.</w:t>
      </w:r>
      <w:r w:rsidRPr="00124B9D">
        <w:tab/>
        <w:t>Double Broken-back Culvert</w:t>
      </w:r>
      <w:bookmarkEnd w:id="22"/>
    </w:p>
    <w:p w14:paraId="7CD5C99E" w14:textId="6BCD00B5" w:rsidR="00FB6998" w:rsidRPr="00124B9D" w:rsidRDefault="00FB6998" w:rsidP="00E64F0F">
      <w:pPr>
        <w:pStyle w:val="BodyText"/>
        <w:jc w:val="center"/>
      </w:pPr>
      <w:r w:rsidRPr="00124B9D">
        <w:rPr>
          <w:noProof/>
        </w:rPr>
        <w:drawing>
          <wp:inline distT="0" distB="0" distL="0" distR="0" wp14:anchorId="32A121D5" wp14:editId="1795E812">
            <wp:extent cx="4937760" cy="24637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7760" cy="2463704"/>
                    </a:xfrm>
                    <a:prstGeom prst="rect">
                      <a:avLst/>
                    </a:prstGeom>
                  </pic:spPr>
                </pic:pic>
              </a:graphicData>
            </a:graphic>
          </wp:inline>
        </w:drawing>
      </w:r>
    </w:p>
    <w:p w14:paraId="3C392048" w14:textId="71EC98CA" w:rsidR="00887119" w:rsidRPr="00124B9D" w:rsidRDefault="00E64F0F" w:rsidP="00314763">
      <w:pPr>
        <w:pStyle w:val="BodyText"/>
      </w:pPr>
      <w:r w:rsidRPr="00124B9D">
        <w:t xml:space="preserve">The total hydraulic performance of these culverts is difficult to analyze without the aid of a computer program written for such a purpose. The hydraulics of circular and rectangular broken-back culverts can be </w:t>
      </w:r>
      <w:r w:rsidR="007722E0" w:rsidRPr="00124B9D">
        <w:t>analyzed</w:t>
      </w:r>
      <w:r w:rsidRPr="00124B9D">
        <w:t xml:space="preserve"> using the FHWA HY-8 software or the Broken-back Culvert Analysis Program (BCAP) software from the Nebraska Department of Transportation.</w:t>
      </w:r>
    </w:p>
    <w:p w14:paraId="5D1BCC23" w14:textId="549F93FA" w:rsidR="00E64F0F" w:rsidRPr="00124B9D" w:rsidRDefault="00E64F0F" w:rsidP="009E6A37">
      <w:pPr>
        <w:pStyle w:val="BodyText"/>
      </w:pPr>
      <w:r w:rsidRPr="00124B9D">
        <w:t>Many broken-back culverts are constructed to control head cut erosion, when there is great differential between the inlet and outlet elevations. In broken-back culverts, velocity of flow is greatest at the lower break due to acceleration in the steeply sloped segment</w:t>
      </w:r>
      <w:r w:rsidR="00931AA9" w:rsidRPr="00124B9D">
        <w:t>;</w:t>
      </w:r>
      <w:r w:rsidR="009E6A37" w:rsidRPr="00124B9D">
        <w:t xml:space="preserve"> however, s</w:t>
      </w:r>
      <w:r w:rsidRPr="00124B9D">
        <w:t>ubcritical flow is desirable at the culvert outlet to reduce the erosive potential of the flow as it exits the culvert. A hydraulic jump will occur within a broken-back culvert when there is sufficient roughness within the culvert barrel, sufficient tailwater at the outlet, or both.</w:t>
      </w:r>
      <w:r w:rsidR="009E6A37" w:rsidRPr="00124B9D">
        <w:t xml:space="preserve"> It is often advantageous to specify corrugated interior pipes for these culverts to help reduce velocity between the lower break point and the culvert outlet. In many cases, HY-8 or BCAP can be used to optimize the length of the outlet section and provide for velocity reduction between the lower break point and the culvert outlet.</w:t>
      </w:r>
    </w:p>
    <w:p w14:paraId="4A98C9ED" w14:textId="77777777" w:rsidR="0085298D" w:rsidRPr="00124B9D" w:rsidRDefault="0085298D" w:rsidP="0085298D">
      <w:pPr>
        <w:pStyle w:val="Heading3"/>
      </w:pPr>
      <w:bookmarkStart w:id="23" w:name="_Toc46399139"/>
      <w:r w:rsidRPr="00124B9D">
        <w:t>Debris Control</w:t>
      </w:r>
      <w:bookmarkEnd w:id="23"/>
    </w:p>
    <w:p w14:paraId="628771C5" w14:textId="31C818BB" w:rsidR="0085298D" w:rsidRPr="00124B9D" w:rsidRDefault="0085298D" w:rsidP="0085298D">
      <w:pPr>
        <w:pStyle w:val="BodyText"/>
      </w:pPr>
      <w:r w:rsidRPr="00124B9D">
        <w:t>The need for debris control should be considered for each culvert, but in general, debris control shall not be used on entrances for culverts unless approved by the City</w:t>
      </w:r>
      <w:r w:rsidR="004E4208" w:rsidRPr="00124B9D">
        <w:t xml:space="preserve"> and should never be installed at the outlet of a culvert</w:t>
      </w:r>
      <w:r w:rsidRPr="00124B9D">
        <w:t>. Upstream property management is generally preferred over a debris control structure. See HDS 5 for design of debris control structures.</w:t>
      </w:r>
    </w:p>
    <w:p w14:paraId="01248942" w14:textId="77777777" w:rsidR="0085298D" w:rsidRPr="00124B9D" w:rsidRDefault="0085298D" w:rsidP="0085298D">
      <w:pPr>
        <w:pStyle w:val="Heading3"/>
      </w:pPr>
      <w:bookmarkStart w:id="24" w:name="_Toc46399140"/>
      <w:r w:rsidRPr="00124B9D">
        <w:t>Anchorage</w:t>
      </w:r>
      <w:bookmarkEnd w:id="24"/>
    </w:p>
    <w:p w14:paraId="71B251A9" w14:textId="77777777" w:rsidR="0085298D" w:rsidRPr="00124B9D" w:rsidRDefault="0085298D" w:rsidP="0085298D">
      <w:pPr>
        <w:pStyle w:val="BodyText"/>
      </w:pPr>
      <w:r w:rsidRPr="00124B9D">
        <w:t xml:space="preserve">Anchorage at the culvert entrance or at the outlet of the culvert may be necessary for the following: </w:t>
      </w:r>
    </w:p>
    <w:p w14:paraId="60F3B26F" w14:textId="77777777" w:rsidR="0085298D" w:rsidRPr="00124B9D" w:rsidRDefault="0085298D" w:rsidP="0085298D">
      <w:pPr>
        <w:pStyle w:val="ReportBullet1"/>
      </w:pPr>
      <w:r w:rsidRPr="00124B9D">
        <w:t xml:space="preserve">Protect the inlet and especially the outlet from undermining by scour. </w:t>
      </w:r>
    </w:p>
    <w:p w14:paraId="0011433D" w14:textId="77777777" w:rsidR="0085298D" w:rsidRPr="00124B9D" w:rsidRDefault="0085298D" w:rsidP="0085298D">
      <w:pPr>
        <w:pStyle w:val="ReportBullet1"/>
      </w:pPr>
      <w:r w:rsidRPr="00124B9D">
        <w:t xml:space="preserve">Protect against buoyant forces or uplift. </w:t>
      </w:r>
    </w:p>
    <w:p w14:paraId="314D38C1" w14:textId="77777777" w:rsidR="0085298D" w:rsidRPr="00124B9D" w:rsidRDefault="0085298D" w:rsidP="00D11DF0">
      <w:pPr>
        <w:pStyle w:val="ReportBullet1LAST"/>
      </w:pPr>
      <w:r w:rsidRPr="00124B9D">
        <w:t xml:space="preserve">Protect against separation of concrete pipe joints. </w:t>
      </w:r>
    </w:p>
    <w:p w14:paraId="7A87036D" w14:textId="7BECC446" w:rsidR="0085298D" w:rsidRPr="00124B9D" w:rsidRDefault="0085298D" w:rsidP="0085298D">
      <w:pPr>
        <w:pStyle w:val="BodyText"/>
      </w:pPr>
      <w:r w:rsidRPr="00124B9D">
        <w:t>End anchorage can be in the form of headwalls, slope paving</w:t>
      </w:r>
      <w:r w:rsidR="003308CB" w:rsidRPr="00124B9D">
        <w:t>,</w:t>
      </w:r>
      <w:r w:rsidRPr="00124B9D">
        <w:t xml:space="preserve"> or piling. These techniques protect the slope from scour and preclude undermining of the culvert end. The culvert barrel, however, must be anchored to the end treatment to be effective. </w:t>
      </w:r>
    </w:p>
    <w:p w14:paraId="289B66BC" w14:textId="77777777" w:rsidR="0085298D" w:rsidRPr="00124B9D" w:rsidRDefault="0085298D" w:rsidP="0085298D">
      <w:pPr>
        <w:pStyle w:val="BodyText"/>
      </w:pPr>
      <w:r w:rsidRPr="00124B9D">
        <w:lastRenderedPageBreak/>
        <w:t xml:space="preserve">Buoyant forces are produced when the pressure outside the culvert is greater than the pressure in the barrel. This condition can occur in a culvert in inlet control with a submerged upstream end and in culverts placed in areas of high groundwater.  </w:t>
      </w:r>
    </w:p>
    <w:p w14:paraId="6CC0F0C4" w14:textId="3AA344AB" w:rsidR="0085298D" w:rsidRPr="00124B9D" w:rsidRDefault="0085298D" w:rsidP="0085298D">
      <w:pPr>
        <w:pStyle w:val="BodyText"/>
      </w:pPr>
      <w:r w:rsidRPr="00124B9D">
        <w:t>Culvert ends projected through levees are also susceptible to failure from buoyant forces if flap gates are used on the end. Generally, flexible barrel materials are most vulnerable to this type of failure because of their light</w:t>
      </w:r>
      <w:r w:rsidR="001F28B3" w:rsidRPr="00124B9D">
        <w:t xml:space="preserve"> </w:t>
      </w:r>
      <w:r w:rsidRPr="00124B9D">
        <w:t xml:space="preserve">weight and lack of resistance to longitudinal bending. Installation of headwalls and wingwalls will increase the dead load on the end of the culvert and protect it from uplift. </w:t>
      </w:r>
    </w:p>
    <w:p w14:paraId="40E1916E" w14:textId="77777777" w:rsidR="0085298D" w:rsidRPr="00124B9D" w:rsidRDefault="0085298D" w:rsidP="0085298D">
      <w:pPr>
        <w:pStyle w:val="BodyText"/>
      </w:pPr>
      <w:r w:rsidRPr="00124B9D">
        <w:t>Rigid concrete pipe susceptible to separation of the pipe joints can be protected by installation of pipe couplers.</w:t>
      </w:r>
    </w:p>
    <w:p w14:paraId="2894F71D" w14:textId="77777777" w:rsidR="0085298D" w:rsidRPr="00124B9D" w:rsidRDefault="0085298D" w:rsidP="0085298D">
      <w:pPr>
        <w:pStyle w:val="Heading3"/>
      </w:pPr>
      <w:bookmarkStart w:id="25" w:name="_Toc46399141"/>
      <w:r w:rsidRPr="00124B9D">
        <w:t>Fill Heights and Loading Requirements</w:t>
      </w:r>
      <w:bookmarkEnd w:id="25"/>
    </w:p>
    <w:p w14:paraId="75D8D851" w14:textId="7CAD356B" w:rsidR="0085298D" w:rsidRPr="00124B9D" w:rsidRDefault="0085298D" w:rsidP="0085298D">
      <w:pPr>
        <w:pStyle w:val="BodyText"/>
      </w:pPr>
      <w:r w:rsidRPr="00124B9D">
        <w:t xml:space="preserve">Fill height over a culvert determines the amount of dead or live loads imposed on the culvert structure. Minimum fill height is defined as the vertical fill distance measured from the top of the conduit to the bottom of the pavement or the shoulder surface at its lowest point. Maximum fill height is defined as the vertical distance measured from the top of the conduit to the top of the pavement at its highest. Minimum fill height for all culverts is one foot.  </w:t>
      </w:r>
    </w:p>
    <w:p w14:paraId="1AEF91E4" w14:textId="77777777" w:rsidR="0085298D" w:rsidRPr="00124B9D" w:rsidRDefault="0085298D" w:rsidP="0085298D">
      <w:pPr>
        <w:pStyle w:val="BodyText"/>
      </w:pPr>
      <w:r w:rsidRPr="00124B9D">
        <w:t>All culverts shall be designed, as a minimum, for HS20 live load with the appropriate impact factor and dead load. Dead load shall be based on the depth of earth cover plus pavement above the top of the culvert.</w:t>
      </w:r>
    </w:p>
    <w:p w14:paraId="6A0D1AE3" w14:textId="4E878588" w:rsidR="00F55FDA" w:rsidRPr="00124B9D" w:rsidRDefault="00F55FDA" w:rsidP="00F55FDA">
      <w:pPr>
        <w:pStyle w:val="Heading3"/>
      </w:pPr>
      <w:bookmarkStart w:id="26" w:name="_Toc46399142"/>
      <w:r w:rsidRPr="00124B9D">
        <w:t>Storage Routing</w:t>
      </w:r>
      <w:bookmarkEnd w:id="26"/>
    </w:p>
    <w:p w14:paraId="73B12537" w14:textId="146A7D22" w:rsidR="00F55FDA" w:rsidRPr="00124B9D" w:rsidRDefault="009A57FA" w:rsidP="00970A09">
      <w:pPr>
        <w:pStyle w:val="BodyText"/>
      </w:pPr>
      <w:r w:rsidRPr="00124B9D">
        <w:t>A significant storage capacity behind a roadway embankment may attenuate a flood hydrograph. Because of the reduction of the peak discharge associated with such attenuation, the required capacity of the culvert, and its size, may be reduced. If significant storage is anticipated behind a culvert, the design may be checked by routing the design hydrographs through the culvert to determine the discharge and stage behind the culvert. If credit for storage attenuation is taken during culvert design, the facility should be designed as a storage facility according to Chapter 7 of this Manual and measures should be taken to ensure the area inundated by floodwater is not encroached upon in the future. Additional routing procedures are also outlined in HDS 5. No roadway embankment shall be designed as a storage facility without prior approval of the City.</w:t>
      </w:r>
    </w:p>
    <w:p w14:paraId="46FF5BF2" w14:textId="5A654598" w:rsidR="00F55FDA" w:rsidRPr="00124B9D" w:rsidRDefault="00F55FDA" w:rsidP="00F55FDA">
      <w:pPr>
        <w:pStyle w:val="Heading2"/>
      </w:pPr>
      <w:bookmarkStart w:id="27" w:name="_Toc46399143"/>
      <w:r w:rsidRPr="00124B9D">
        <w:t>References</w:t>
      </w:r>
      <w:bookmarkEnd w:id="27"/>
    </w:p>
    <w:p w14:paraId="6E0AC3E4" w14:textId="77777777" w:rsidR="00970A09" w:rsidRPr="00124B9D" w:rsidRDefault="00970A09" w:rsidP="00970A09">
      <w:pPr>
        <w:pStyle w:val="ReportBullet1"/>
      </w:pPr>
      <w:r w:rsidRPr="00124B9D">
        <w:t xml:space="preserve">City of Lincoln Public Works and Utilities Department, 2000. </w:t>
      </w:r>
      <w:r w:rsidRPr="00124B9D">
        <w:rPr>
          <w:i/>
        </w:rPr>
        <w:t>Drainage Criteria Manual.</w:t>
      </w:r>
    </w:p>
    <w:p w14:paraId="2E09F572" w14:textId="77777777" w:rsidR="00970A09" w:rsidRPr="00124B9D" w:rsidRDefault="00970A09" w:rsidP="00970A09">
      <w:pPr>
        <w:pStyle w:val="ReportBullet1"/>
      </w:pPr>
      <w:r w:rsidRPr="00124B9D">
        <w:t xml:space="preserve">City of Omaha Environmental Quality Control Division, 2014. </w:t>
      </w:r>
      <w:r w:rsidRPr="00124B9D">
        <w:rPr>
          <w:i/>
        </w:rPr>
        <w:t>Omaha Regional Stormwater Design Manual.</w:t>
      </w:r>
    </w:p>
    <w:p w14:paraId="300366C7" w14:textId="0F88C733" w:rsidR="00970A09" w:rsidRPr="00124B9D" w:rsidRDefault="00970A09" w:rsidP="00970A09">
      <w:pPr>
        <w:pStyle w:val="ReportBullet1"/>
      </w:pPr>
      <w:r w:rsidRPr="00124B9D">
        <w:t xml:space="preserve">Federal Highway Administration, 2012. </w:t>
      </w:r>
      <w:r w:rsidRPr="00124B9D">
        <w:rPr>
          <w:i/>
        </w:rPr>
        <w:t>Hydraulic Design Series Number 5, Third Edition, Hydraulic Design of Highway Culverts.</w:t>
      </w:r>
    </w:p>
    <w:p w14:paraId="7A2BC456" w14:textId="7AFCF021" w:rsidR="00642EDE" w:rsidRDefault="00970A09" w:rsidP="00D11DF0">
      <w:pPr>
        <w:pStyle w:val="ReportBullet1LAST"/>
        <w:rPr>
          <w:i/>
        </w:rPr>
      </w:pPr>
      <w:r w:rsidRPr="00124B9D">
        <w:t xml:space="preserve">Nebraska Department of Transportation, 2006. </w:t>
      </w:r>
      <w:r w:rsidRPr="00124B9D">
        <w:rPr>
          <w:i/>
        </w:rPr>
        <w:t>Drainage Design and Erosion Control Manual.</w:t>
      </w:r>
    </w:p>
    <w:p w14:paraId="549514C7" w14:textId="41B9AEF3" w:rsidR="00F55F76" w:rsidRPr="00F55F76" w:rsidRDefault="00F55F76" w:rsidP="00F55F76">
      <w:pPr>
        <w:pStyle w:val="BodyText"/>
      </w:pPr>
    </w:p>
    <w:sectPr w:rsidR="00F55F76" w:rsidRPr="00F55F76" w:rsidSect="00D11DF0">
      <w:footerReference w:type="default" r:id="rId12"/>
      <w:type w:val="continuous"/>
      <w:pgSz w:w="12240" w:h="15840"/>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D3CF" w14:textId="77777777" w:rsidR="000B057B" w:rsidRDefault="000B057B" w:rsidP="0043372E">
      <w:r>
        <w:separator/>
      </w:r>
    </w:p>
  </w:endnote>
  <w:endnote w:type="continuationSeparator" w:id="0">
    <w:p w14:paraId="65383D62" w14:textId="77777777" w:rsidR="000B057B" w:rsidRDefault="000B057B"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0C5" w14:textId="28480509" w:rsidR="000B057B" w:rsidRDefault="000B057B" w:rsidP="007A14BB">
    <w:pPr>
      <w:pStyle w:val="Footer"/>
      <w:tabs>
        <w:tab w:val="clear" w:pos="4680"/>
      </w:tabs>
      <w:spacing w:before="120"/>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ED15" w14:textId="77777777" w:rsidR="000B057B" w:rsidRDefault="000B057B" w:rsidP="0043372E">
      <w:r>
        <w:separator/>
      </w:r>
    </w:p>
  </w:footnote>
  <w:footnote w:type="continuationSeparator" w:id="0">
    <w:p w14:paraId="369C43DC" w14:textId="77777777" w:rsidR="000B057B" w:rsidRDefault="000B057B"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E2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C0A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6D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42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887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EF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E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A1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ED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581C"/>
    <w:multiLevelType w:val="hybridMultilevel"/>
    <w:tmpl w:val="B156B13A"/>
    <w:lvl w:ilvl="0" w:tplc="46908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AB7DE8"/>
    <w:multiLevelType w:val="hybridMultilevel"/>
    <w:tmpl w:val="884085FA"/>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230E6"/>
    <w:multiLevelType w:val="multilevel"/>
    <w:tmpl w:val="1D080DA6"/>
    <w:lvl w:ilvl="0">
      <w:start w:val="5"/>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num w:numId="1">
    <w:abstractNumId w:val="15"/>
  </w:num>
  <w:num w:numId="2">
    <w:abstractNumId w:val="1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56FF"/>
    <w:rsid w:val="00013DE8"/>
    <w:rsid w:val="0002586E"/>
    <w:rsid w:val="0003732F"/>
    <w:rsid w:val="00043631"/>
    <w:rsid w:val="000637F5"/>
    <w:rsid w:val="000719E2"/>
    <w:rsid w:val="00085CE8"/>
    <w:rsid w:val="000A7E0A"/>
    <w:rsid w:val="000B0429"/>
    <w:rsid w:val="000B057B"/>
    <w:rsid w:val="000B3881"/>
    <w:rsid w:val="000D297B"/>
    <w:rsid w:val="000E2232"/>
    <w:rsid w:val="000F2654"/>
    <w:rsid w:val="00124B9D"/>
    <w:rsid w:val="0014084A"/>
    <w:rsid w:val="00145129"/>
    <w:rsid w:val="00154260"/>
    <w:rsid w:val="00156AAF"/>
    <w:rsid w:val="001603BF"/>
    <w:rsid w:val="001607B0"/>
    <w:rsid w:val="00172BAA"/>
    <w:rsid w:val="0017390A"/>
    <w:rsid w:val="00173FF4"/>
    <w:rsid w:val="00181AE5"/>
    <w:rsid w:val="001821F2"/>
    <w:rsid w:val="00182395"/>
    <w:rsid w:val="001A214C"/>
    <w:rsid w:val="001A3B2E"/>
    <w:rsid w:val="001C381B"/>
    <w:rsid w:val="001C6545"/>
    <w:rsid w:val="001C6E68"/>
    <w:rsid w:val="001D5AAE"/>
    <w:rsid w:val="001D7115"/>
    <w:rsid w:val="001E2617"/>
    <w:rsid w:val="001F28B3"/>
    <w:rsid w:val="00207069"/>
    <w:rsid w:val="00207FE6"/>
    <w:rsid w:val="00212318"/>
    <w:rsid w:val="002225C8"/>
    <w:rsid w:val="00224EB0"/>
    <w:rsid w:val="00234470"/>
    <w:rsid w:val="00247F86"/>
    <w:rsid w:val="00260040"/>
    <w:rsid w:val="002708FD"/>
    <w:rsid w:val="00274B2C"/>
    <w:rsid w:val="0027622D"/>
    <w:rsid w:val="00283BC7"/>
    <w:rsid w:val="002A05FB"/>
    <w:rsid w:val="002A26BD"/>
    <w:rsid w:val="002A5313"/>
    <w:rsid w:val="002B3323"/>
    <w:rsid w:val="002C4862"/>
    <w:rsid w:val="002D19D7"/>
    <w:rsid w:val="002F3EBD"/>
    <w:rsid w:val="002F57BD"/>
    <w:rsid w:val="002F65E8"/>
    <w:rsid w:val="00303FFC"/>
    <w:rsid w:val="003072B9"/>
    <w:rsid w:val="00307754"/>
    <w:rsid w:val="00314763"/>
    <w:rsid w:val="00327F65"/>
    <w:rsid w:val="003308CB"/>
    <w:rsid w:val="00334A8B"/>
    <w:rsid w:val="003425FF"/>
    <w:rsid w:val="003512FD"/>
    <w:rsid w:val="00356819"/>
    <w:rsid w:val="00362C4F"/>
    <w:rsid w:val="00364CEA"/>
    <w:rsid w:val="00364F8D"/>
    <w:rsid w:val="003777F1"/>
    <w:rsid w:val="003877C9"/>
    <w:rsid w:val="00391D06"/>
    <w:rsid w:val="003A2CD7"/>
    <w:rsid w:val="003A3628"/>
    <w:rsid w:val="003A6BC4"/>
    <w:rsid w:val="003B3C2E"/>
    <w:rsid w:val="003C3EC0"/>
    <w:rsid w:val="003C539F"/>
    <w:rsid w:val="003D7EBA"/>
    <w:rsid w:val="003E12B7"/>
    <w:rsid w:val="003E57AD"/>
    <w:rsid w:val="003E679A"/>
    <w:rsid w:val="003F5161"/>
    <w:rsid w:val="00414D0B"/>
    <w:rsid w:val="00415EDE"/>
    <w:rsid w:val="00416DE8"/>
    <w:rsid w:val="0043372E"/>
    <w:rsid w:val="00434A8E"/>
    <w:rsid w:val="004437C5"/>
    <w:rsid w:val="004441D3"/>
    <w:rsid w:val="00445D7F"/>
    <w:rsid w:val="004572E2"/>
    <w:rsid w:val="004627F3"/>
    <w:rsid w:val="004647FE"/>
    <w:rsid w:val="0047285B"/>
    <w:rsid w:val="004867F2"/>
    <w:rsid w:val="00487023"/>
    <w:rsid w:val="00497009"/>
    <w:rsid w:val="004B0D0C"/>
    <w:rsid w:val="004B1FD3"/>
    <w:rsid w:val="004B3620"/>
    <w:rsid w:val="004B6BB8"/>
    <w:rsid w:val="004C5C23"/>
    <w:rsid w:val="004D13BB"/>
    <w:rsid w:val="004E0721"/>
    <w:rsid w:val="004E343C"/>
    <w:rsid w:val="004E4208"/>
    <w:rsid w:val="004E4F56"/>
    <w:rsid w:val="00504150"/>
    <w:rsid w:val="00505AD1"/>
    <w:rsid w:val="005069CF"/>
    <w:rsid w:val="00507323"/>
    <w:rsid w:val="00511B61"/>
    <w:rsid w:val="0053186C"/>
    <w:rsid w:val="005447E6"/>
    <w:rsid w:val="005470A3"/>
    <w:rsid w:val="00552084"/>
    <w:rsid w:val="00562CF5"/>
    <w:rsid w:val="00590BF5"/>
    <w:rsid w:val="00597E55"/>
    <w:rsid w:val="005B23F7"/>
    <w:rsid w:val="005C7FED"/>
    <w:rsid w:val="0060288F"/>
    <w:rsid w:val="00621F10"/>
    <w:rsid w:val="006336A8"/>
    <w:rsid w:val="00641F13"/>
    <w:rsid w:val="00642EDE"/>
    <w:rsid w:val="00650C9F"/>
    <w:rsid w:val="00652B27"/>
    <w:rsid w:val="00673439"/>
    <w:rsid w:val="006871F7"/>
    <w:rsid w:val="00687FA2"/>
    <w:rsid w:val="00693978"/>
    <w:rsid w:val="006975EC"/>
    <w:rsid w:val="006A6D14"/>
    <w:rsid w:val="006B1EDC"/>
    <w:rsid w:val="006B70F7"/>
    <w:rsid w:val="006C038D"/>
    <w:rsid w:val="006C0BDF"/>
    <w:rsid w:val="006E4FD9"/>
    <w:rsid w:val="006E7EB1"/>
    <w:rsid w:val="006F1F21"/>
    <w:rsid w:val="006F24AB"/>
    <w:rsid w:val="006F29B1"/>
    <w:rsid w:val="00700E96"/>
    <w:rsid w:val="00704CA6"/>
    <w:rsid w:val="00706981"/>
    <w:rsid w:val="007078AC"/>
    <w:rsid w:val="00714572"/>
    <w:rsid w:val="0071748B"/>
    <w:rsid w:val="00721057"/>
    <w:rsid w:val="007247CA"/>
    <w:rsid w:val="00731246"/>
    <w:rsid w:val="00740F6D"/>
    <w:rsid w:val="007574FB"/>
    <w:rsid w:val="00764BED"/>
    <w:rsid w:val="007722E0"/>
    <w:rsid w:val="00785135"/>
    <w:rsid w:val="00787FA1"/>
    <w:rsid w:val="00790F07"/>
    <w:rsid w:val="00792F50"/>
    <w:rsid w:val="007A14BB"/>
    <w:rsid w:val="007A2A02"/>
    <w:rsid w:val="007A5F2B"/>
    <w:rsid w:val="007C0408"/>
    <w:rsid w:val="007C776E"/>
    <w:rsid w:val="007D449D"/>
    <w:rsid w:val="007D7EA9"/>
    <w:rsid w:val="007E3F24"/>
    <w:rsid w:val="007E5CE2"/>
    <w:rsid w:val="007F63E7"/>
    <w:rsid w:val="00800364"/>
    <w:rsid w:val="00806B0C"/>
    <w:rsid w:val="00806BB9"/>
    <w:rsid w:val="00810E8D"/>
    <w:rsid w:val="00812C0D"/>
    <w:rsid w:val="008150D5"/>
    <w:rsid w:val="00831FB1"/>
    <w:rsid w:val="00835537"/>
    <w:rsid w:val="00841EE4"/>
    <w:rsid w:val="0084219F"/>
    <w:rsid w:val="00845DAF"/>
    <w:rsid w:val="008478AE"/>
    <w:rsid w:val="0085298D"/>
    <w:rsid w:val="0086482F"/>
    <w:rsid w:val="00867B38"/>
    <w:rsid w:val="00875E70"/>
    <w:rsid w:val="008804E1"/>
    <w:rsid w:val="00887119"/>
    <w:rsid w:val="00887F28"/>
    <w:rsid w:val="008B19EF"/>
    <w:rsid w:val="008B7AFA"/>
    <w:rsid w:val="008D76C9"/>
    <w:rsid w:val="008E041F"/>
    <w:rsid w:val="008F2E17"/>
    <w:rsid w:val="009125EE"/>
    <w:rsid w:val="00931AA9"/>
    <w:rsid w:val="009359E5"/>
    <w:rsid w:val="00946494"/>
    <w:rsid w:val="00956877"/>
    <w:rsid w:val="00964468"/>
    <w:rsid w:val="00970A09"/>
    <w:rsid w:val="009716BB"/>
    <w:rsid w:val="00971A5C"/>
    <w:rsid w:val="0097770F"/>
    <w:rsid w:val="00977BB9"/>
    <w:rsid w:val="009951B8"/>
    <w:rsid w:val="009A0ACA"/>
    <w:rsid w:val="009A57FA"/>
    <w:rsid w:val="009A5C90"/>
    <w:rsid w:val="009B21D6"/>
    <w:rsid w:val="009C46DA"/>
    <w:rsid w:val="009D5E2B"/>
    <w:rsid w:val="009E295F"/>
    <w:rsid w:val="009E37AB"/>
    <w:rsid w:val="009E6A37"/>
    <w:rsid w:val="009F5F29"/>
    <w:rsid w:val="00A03DEF"/>
    <w:rsid w:val="00A04507"/>
    <w:rsid w:val="00A16FDE"/>
    <w:rsid w:val="00A20404"/>
    <w:rsid w:val="00A54226"/>
    <w:rsid w:val="00A55844"/>
    <w:rsid w:val="00A57DB8"/>
    <w:rsid w:val="00A62885"/>
    <w:rsid w:val="00A7716E"/>
    <w:rsid w:val="00A87B39"/>
    <w:rsid w:val="00A907CF"/>
    <w:rsid w:val="00A912B8"/>
    <w:rsid w:val="00A94A5F"/>
    <w:rsid w:val="00AA0EE0"/>
    <w:rsid w:val="00AB2F81"/>
    <w:rsid w:val="00AB476E"/>
    <w:rsid w:val="00AB63B5"/>
    <w:rsid w:val="00AC61BB"/>
    <w:rsid w:val="00AC7B91"/>
    <w:rsid w:val="00AD29F2"/>
    <w:rsid w:val="00AD6BDB"/>
    <w:rsid w:val="00AE3199"/>
    <w:rsid w:val="00AF4A1A"/>
    <w:rsid w:val="00B01176"/>
    <w:rsid w:val="00B04DB2"/>
    <w:rsid w:val="00B116A3"/>
    <w:rsid w:val="00B178F9"/>
    <w:rsid w:val="00B236D6"/>
    <w:rsid w:val="00B25584"/>
    <w:rsid w:val="00B33EBF"/>
    <w:rsid w:val="00B37929"/>
    <w:rsid w:val="00B37C0F"/>
    <w:rsid w:val="00B4234C"/>
    <w:rsid w:val="00B93412"/>
    <w:rsid w:val="00B9376E"/>
    <w:rsid w:val="00BA703C"/>
    <w:rsid w:val="00BD71A6"/>
    <w:rsid w:val="00BE40A6"/>
    <w:rsid w:val="00C12A10"/>
    <w:rsid w:val="00C174C5"/>
    <w:rsid w:val="00C21D3D"/>
    <w:rsid w:val="00C368CD"/>
    <w:rsid w:val="00C51E44"/>
    <w:rsid w:val="00C53CD3"/>
    <w:rsid w:val="00C62B23"/>
    <w:rsid w:val="00C85E9E"/>
    <w:rsid w:val="00C96B2C"/>
    <w:rsid w:val="00CA06F3"/>
    <w:rsid w:val="00CA44E7"/>
    <w:rsid w:val="00CA6556"/>
    <w:rsid w:val="00CA6D97"/>
    <w:rsid w:val="00CC450B"/>
    <w:rsid w:val="00CE0CF0"/>
    <w:rsid w:val="00CE6A64"/>
    <w:rsid w:val="00D11BA8"/>
    <w:rsid w:val="00D11DF0"/>
    <w:rsid w:val="00D14CDB"/>
    <w:rsid w:val="00D21AA5"/>
    <w:rsid w:val="00D22201"/>
    <w:rsid w:val="00D26E30"/>
    <w:rsid w:val="00D32999"/>
    <w:rsid w:val="00D35E99"/>
    <w:rsid w:val="00D3656D"/>
    <w:rsid w:val="00D47602"/>
    <w:rsid w:val="00D50FBE"/>
    <w:rsid w:val="00D55D9A"/>
    <w:rsid w:val="00D62C70"/>
    <w:rsid w:val="00D713F6"/>
    <w:rsid w:val="00D72704"/>
    <w:rsid w:val="00D73919"/>
    <w:rsid w:val="00D755F7"/>
    <w:rsid w:val="00D77012"/>
    <w:rsid w:val="00D82491"/>
    <w:rsid w:val="00D925E0"/>
    <w:rsid w:val="00DA6E56"/>
    <w:rsid w:val="00DA73C1"/>
    <w:rsid w:val="00DB727B"/>
    <w:rsid w:val="00DD6FCC"/>
    <w:rsid w:val="00DE2ADE"/>
    <w:rsid w:val="00E036CC"/>
    <w:rsid w:val="00E056F8"/>
    <w:rsid w:val="00E076EA"/>
    <w:rsid w:val="00E12E8C"/>
    <w:rsid w:val="00E137D4"/>
    <w:rsid w:val="00E16789"/>
    <w:rsid w:val="00E244C5"/>
    <w:rsid w:val="00E24F77"/>
    <w:rsid w:val="00E333EB"/>
    <w:rsid w:val="00E35CC2"/>
    <w:rsid w:val="00E527BD"/>
    <w:rsid w:val="00E64F0F"/>
    <w:rsid w:val="00E7197A"/>
    <w:rsid w:val="00E75F79"/>
    <w:rsid w:val="00E8686E"/>
    <w:rsid w:val="00E92372"/>
    <w:rsid w:val="00E96841"/>
    <w:rsid w:val="00EB113C"/>
    <w:rsid w:val="00EC32BA"/>
    <w:rsid w:val="00ED7114"/>
    <w:rsid w:val="00EE03C0"/>
    <w:rsid w:val="00EE0A0F"/>
    <w:rsid w:val="00EE160F"/>
    <w:rsid w:val="00EE6772"/>
    <w:rsid w:val="00F01EF7"/>
    <w:rsid w:val="00F176C4"/>
    <w:rsid w:val="00F21652"/>
    <w:rsid w:val="00F21D47"/>
    <w:rsid w:val="00F21E7B"/>
    <w:rsid w:val="00F36FDC"/>
    <w:rsid w:val="00F42617"/>
    <w:rsid w:val="00F55F76"/>
    <w:rsid w:val="00F55FDA"/>
    <w:rsid w:val="00F60043"/>
    <w:rsid w:val="00F65261"/>
    <w:rsid w:val="00F82D3F"/>
    <w:rsid w:val="00F9674A"/>
    <w:rsid w:val="00FB38C1"/>
    <w:rsid w:val="00FB6998"/>
    <w:rsid w:val="00FC7EBF"/>
    <w:rsid w:val="00FD719F"/>
    <w:rsid w:val="00FD7436"/>
    <w:rsid w:val="00FE299A"/>
    <w:rsid w:val="00FE412A"/>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67436A"/>
  <w15:chartTrackingRefBased/>
  <w15:docId w15:val="{ECAA82FE-DE3C-4CF7-98AB-D1B63EA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53186C"/>
    <w:pPr>
      <w:keepNext/>
      <w:keepLines/>
      <w:numPr>
        <w:ilvl w:val="2"/>
        <w:numId w:val="1"/>
      </w:numPr>
      <w:spacing w:before="120" w:after="120"/>
      <w:outlineLvl w:val="2"/>
    </w:pPr>
    <w:rPr>
      <w:rFonts w:eastAsiaTheme="majorEastAsia" w:cstheme="majorBidi"/>
      <w:b/>
      <w:i/>
      <w:color w:val="00677F"/>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EE6772"/>
    <w:pPr>
      <w:keepNext/>
      <w:keepLines/>
      <w:numPr>
        <w:ilvl w:val="4"/>
        <w:numId w:val="1"/>
      </w:numPr>
      <w:spacing w:before="40"/>
      <w:outlineLvl w:val="4"/>
    </w:pPr>
    <w:rPr>
      <w:rFonts w:eastAsiaTheme="majorEastAsia" w:cstheme="majorBidi"/>
      <w:b/>
      <w:color w:val="425563" w:themeColor="accent1"/>
    </w:rPr>
  </w:style>
  <w:style w:type="paragraph" w:styleId="Heading6">
    <w:name w:val="heading 6"/>
    <w:basedOn w:val="Normal"/>
    <w:next w:val="Normal"/>
    <w:link w:val="Heading6Char"/>
    <w:uiPriority w:val="9"/>
    <w:unhideWhenUsed/>
    <w:qFormat/>
    <w:rsid w:val="00F36FDC"/>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uiPriority w:val="99"/>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ind w:left="10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53186C"/>
    <w:rPr>
      <w:rFonts w:ascii="Gill Sans MT" w:eastAsiaTheme="majorEastAsia" w:hAnsi="Gill Sans MT" w:cstheme="majorBidi"/>
      <w:b/>
      <w:i/>
      <w:color w:val="00677F"/>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EE6772"/>
    <w:rPr>
      <w:rFonts w:ascii="Gill Sans MT" w:eastAsiaTheme="majorEastAsia" w:hAnsi="Gill Sans MT" w:cstheme="majorBidi"/>
      <w:b/>
      <w:color w:val="425563" w:themeColor="accent1"/>
    </w:rPr>
  </w:style>
  <w:style w:type="character" w:customStyle="1" w:styleId="Heading6Char">
    <w:name w:val="Heading 6 Char"/>
    <w:basedOn w:val="DefaultParagraphFont"/>
    <w:link w:val="Heading6"/>
    <w:uiPriority w:val="9"/>
    <w:rsid w:val="00F36FDC"/>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7E5CE2"/>
    <w:pPr>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1F28B3"/>
    <w:pPr>
      <w:keepNext/>
      <w:keepLines/>
      <w:spacing w:before="120" w:after="120"/>
      <w:ind w:left="1800" w:hanging="1800"/>
    </w:pPr>
    <w:rPr>
      <w:b/>
      <w:color w:val="425563"/>
      <w:spacing w:val="30"/>
    </w:rPr>
  </w:style>
  <w:style w:type="paragraph" w:customStyle="1" w:styleId="TableCaptionTitle">
    <w:name w:val="Table Caption Title"/>
    <w:basedOn w:val="Normal"/>
    <w:next w:val="BodyText"/>
    <w:qFormat/>
    <w:rsid w:val="001F28B3"/>
    <w:pPr>
      <w:keepNext/>
      <w:keepLines/>
      <w:spacing w:before="120" w:after="120"/>
      <w:ind w:left="1800" w:hanging="1800"/>
    </w:pPr>
    <w:rPr>
      <w:b/>
      <w:color w:val="425563"/>
      <w:spacing w:val="30"/>
    </w:rPr>
  </w:style>
  <w:style w:type="table" w:styleId="TableGrid">
    <w:name w:val="Table Grid"/>
    <w:basedOn w:val="TableNormal"/>
    <w:uiPriority w:val="39"/>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character" w:styleId="CommentReference">
    <w:name w:val="annotation reference"/>
    <w:basedOn w:val="DefaultParagraphFont"/>
    <w:uiPriority w:val="99"/>
    <w:semiHidden/>
    <w:unhideWhenUsed/>
    <w:rsid w:val="00964468"/>
    <w:rPr>
      <w:sz w:val="16"/>
      <w:szCs w:val="16"/>
    </w:rPr>
  </w:style>
  <w:style w:type="paragraph" w:styleId="CommentText">
    <w:name w:val="annotation text"/>
    <w:basedOn w:val="Normal"/>
    <w:link w:val="CommentTextChar"/>
    <w:uiPriority w:val="99"/>
    <w:semiHidden/>
    <w:unhideWhenUsed/>
    <w:rsid w:val="00964468"/>
    <w:rPr>
      <w:sz w:val="20"/>
      <w:szCs w:val="20"/>
    </w:rPr>
  </w:style>
  <w:style w:type="character" w:customStyle="1" w:styleId="CommentTextChar">
    <w:name w:val="Comment Text Char"/>
    <w:basedOn w:val="DefaultParagraphFont"/>
    <w:link w:val="CommentText"/>
    <w:uiPriority w:val="99"/>
    <w:semiHidden/>
    <w:rsid w:val="00964468"/>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64468"/>
    <w:rPr>
      <w:b/>
      <w:bCs/>
    </w:rPr>
  </w:style>
  <w:style w:type="character" w:customStyle="1" w:styleId="CommentSubjectChar">
    <w:name w:val="Comment Subject Char"/>
    <w:basedOn w:val="CommentTextChar"/>
    <w:link w:val="CommentSubject"/>
    <w:uiPriority w:val="99"/>
    <w:semiHidden/>
    <w:rsid w:val="00964468"/>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5BE7-197E-4E29-BC9B-A9B1777D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2253</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35</cp:revision>
  <cp:lastPrinted>2018-01-12T17:07:00Z</cp:lastPrinted>
  <dcterms:created xsi:type="dcterms:W3CDTF">2019-06-07T15:31:00Z</dcterms:created>
  <dcterms:modified xsi:type="dcterms:W3CDTF">2020-07-24T16:56:00Z</dcterms:modified>
</cp:coreProperties>
</file>