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881D" w14:textId="575314EE" w:rsidR="00845DAF" w:rsidRPr="004758A5" w:rsidRDefault="002D4DE5" w:rsidP="00FE05EB">
      <w:pPr>
        <w:pStyle w:val="Heading1"/>
      </w:pPr>
      <w:bookmarkStart w:id="0" w:name="_Toc46841978"/>
      <w:r w:rsidRPr="004758A5">
        <w:t>Post-Con</w:t>
      </w:r>
      <w:r w:rsidR="00FE05EB" w:rsidRPr="004758A5">
        <w:t>s</w:t>
      </w:r>
      <w:r w:rsidRPr="004758A5">
        <w:t>truction Best Management Practices</w:t>
      </w:r>
      <w:bookmarkEnd w:id="0"/>
    </w:p>
    <w:p w14:paraId="20A083CF" w14:textId="00A69D41" w:rsidR="00F36FDC" w:rsidRPr="004758A5" w:rsidRDefault="002D4DE5" w:rsidP="00902375">
      <w:pPr>
        <w:pStyle w:val="Heading2"/>
      </w:pPr>
      <w:bookmarkStart w:id="1" w:name="_Toc46841979"/>
      <w:r w:rsidRPr="004758A5">
        <w:t>Overview</w:t>
      </w:r>
      <w:bookmarkEnd w:id="1"/>
    </w:p>
    <w:p w14:paraId="5171D1DE" w14:textId="7CC53A73" w:rsidR="003D2695" w:rsidRPr="004758A5" w:rsidRDefault="003D2695" w:rsidP="009A7698">
      <w:pPr>
        <w:pStyle w:val="BodyText"/>
        <w:spacing w:after="120"/>
      </w:pPr>
      <w:r w:rsidRPr="004758A5">
        <w:t xml:space="preserve">The physical and chemical characteristics of stormwater runoff change as urbanization occurs. As stormwater flows across roads, rooftops, and other hard surfaces, pollutants are picked up and then discharged to streams and lakes. Additionally, the increased frequency, flow rate, duration, and volume of stormwater discharges due to urbanization can result in the scouring of rivers and streams, degrading the physical integrity of aquatic habitats, stream function, and overall water quality </w:t>
      </w:r>
    </w:p>
    <w:p w14:paraId="099351F8" w14:textId="7C46E938" w:rsidR="00DF1168" w:rsidRPr="004758A5" w:rsidRDefault="00DF1168" w:rsidP="009A7698">
      <w:pPr>
        <w:pStyle w:val="BodyText"/>
        <w:spacing w:after="120"/>
      </w:pPr>
      <w:r w:rsidRPr="004758A5">
        <w:t>The intent of this Chapter is the proper selection, design, implementation, and maintenance of post</w:t>
      </w:r>
      <w:r w:rsidR="00544BA2" w:rsidRPr="004758A5">
        <w:noBreakHyphen/>
      </w:r>
      <w:r w:rsidRPr="004758A5">
        <w:t xml:space="preserve">construction </w:t>
      </w:r>
      <w:r w:rsidR="00FB5A3B" w:rsidRPr="004758A5">
        <w:t>storm</w:t>
      </w:r>
      <w:r w:rsidRPr="004758A5">
        <w:t xml:space="preserve">water quality Best Management Practices (BMPs) for new developments and redevelopment efforts. </w:t>
      </w:r>
      <w:r w:rsidR="00321F48" w:rsidRPr="004758A5">
        <w:t xml:space="preserve">It should be noted that constructed stormwater controls may be referred to as Stormwater Treatment Facilities (STFs) and some references use these terms interchangeably. </w:t>
      </w:r>
      <w:r w:rsidRPr="004758A5">
        <w:t>This Chapter provides information and guidance regarding the selection</w:t>
      </w:r>
      <w:r w:rsidR="00A50B09" w:rsidRPr="004758A5">
        <w:t xml:space="preserve">, </w:t>
      </w:r>
      <w:r w:rsidRPr="004758A5">
        <w:t>design</w:t>
      </w:r>
      <w:r w:rsidR="00544BA2" w:rsidRPr="004758A5">
        <w:t>,</w:t>
      </w:r>
      <w:r w:rsidR="00A50B09" w:rsidRPr="004758A5">
        <w:t xml:space="preserve"> and maintenance</w:t>
      </w:r>
      <w:r w:rsidRPr="004758A5">
        <w:t xml:space="preserve"> of selected BMPs. Implementation of BMPs is expected to reduce pollutants in stormwater runoff and receiving waters, improving the water quality and environment of the community.</w:t>
      </w:r>
    </w:p>
    <w:p w14:paraId="782B6CE3" w14:textId="664D38A7" w:rsidR="002D4DE5" w:rsidRPr="004758A5" w:rsidRDefault="002D4DE5" w:rsidP="00FE05EB">
      <w:pPr>
        <w:pStyle w:val="Heading3"/>
      </w:pPr>
      <w:bookmarkStart w:id="2" w:name="_Toc46841980"/>
      <w:r w:rsidRPr="004758A5">
        <w:t>Clean Water Act Requirements</w:t>
      </w:r>
      <w:bookmarkEnd w:id="2"/>
    </w:p>
    <w:p w14:paraId="349F8865" w14:textId="3D9F9810" w:rsidR="00DF1168" w:rsidRPr="004758A5" w:rsidRDefault="00DF1168" w:rsidP="009A7698">
      <w:pPr>
        <w:pStyle w:val="BodyText"/>
        <w:spacing w:after="120"/>
      </w:pPr>
      <w:r w:rsidRPr="004758A5">
        <w:t xml:space="preserve">The Federal Water Pollution Control Act of 1972, as amended is commonly known as the Clean Water Act and establishes minimum stormwater management requirements for urbanized areas in the United States. At the federal level, the EPA is responsible for administering and enforcing the requirements of the Clean Water Act. Section 402(p) of the Clean Water Act </w:t>
      </w:r>
      <w:r w:rsidR="00FD3FE0" w:rsidRPr="004758A5">
        <w:t xml:space="preserve">establishes minimum stormwater management requirements for urbanized areas in the United States. It </w:t>
      </w:r>
      <w:r w:rsidRPr="004758A5">
        <w:t xml:space="preserve">requires urban and industrial stormwater be controlled through the National Pollutant Discharge Elimination System (NPDES) permit program. Requirements affect both construction and post-construction phases of development. As a result, urban areas must meet requirements of </w:t>
      </w:r>
      <w:r w:rsidR="00321F48" w:rsidRPr="004758A5">
        <w:t>Municipal Separate Storm Sewer System (</w:t>
      </w:r>
      <w:r w:rsidRPr="004758A5">
        <w:t>MS4</w:t>
      </w:r>
      <w:r w:rsidR="00321F48" w:rsidRPr="004758A5">
        <w:t>)</w:t>
      </w:r>
      <w:r w:rsidRPr="004758A5">
        <w:t xml:space="preserve"> permits, and many industries and institutions must also meet NPDES stormwater permit requirements. MS4 permittees are required to develop a Stormwater Management Program that includes measurable goals and to implement stormwater management controls (i.e.</w:t>
      </w:r>
      <w:r w:rsidR="00544BA2" w:rsidRPr="004758A5">
        <w:t>,</w:t>
      </w:r>
      <w:r w:rsidRPr="004758A5">
        <w:t xml:space="preserve"> BMPs). MS4 permittees are also required to assess controls and the effectiveness of their stormwater programs and to reduce the discharge of pollutants to the “maximum extent practicable</w:t>
      </w:r>
      <w:r w:rsidR="00544BA2" w:rsidRPr="004758A5">
        <w:t>.</w:t>
      </w:r>
      <w:r w:rsidRPr="004758A5">
        <w:t>”</w:t>
      </w:r>
    </w:p>
    <w:p w14:paraId="3B833DD4" w14:textId="70DEC0E8" w:rsidR="00DF1168" w:rsidRPr="004758A5" w:rsidRDefault="00DF1168" w:rsidP="009A7698">
      <w:pPr>
        <w:pStyle w:val="BodyText"/>
        <w:spacing w:after="120"/>
      </w:pPr>
      <w:r w:rsidRPr="004758A5">
        <w:t>Although it is not the case for every state, the EPA has delegated Clean Water Act authority to the State of Nebraska. The State must meet the minimum requirements of the federal program. The state rules and regulations are promulgated under the Nebraska Environmental Protection Act, as amended (Neb. Rev. Stat. §81-1501 et seq).</w:t>
      </w:r>
    </w:p>
    <w:p w14:paraId="06B99C0B" w14:textId="5869DC7A" w:rsidR="007E71FC" w:rsidRPr="004758A5" w:rsidRDefault="007E71FC" w:rsidP="00AD7248">
      <w:pPr>
        <w:pStyle w:val="Heading2"/>
      </w:pPr>
      <w:bookmarkStart w:id="3" w:name="_Toc46841981"/>
      <w:r w:rsidRPr="004758A5">
        <w:t>Applicability</w:t>
      </w:r>
      <w:bookmarkEnd w:id="3"/>
    </w:p>
    <w:p w14:paraId="19A4058D" w14:textId="41207B84" w:rsidR="007E71FC" w:rsidRPr="004758A5" w:rsidRDefault="007E71FC" w:rsidP="009A7698">
      <w:pPr>
        <w:pStyle w:val="BodyText"/>
        <w:spacing w:after="120"/>
      </w:pPr>
      <w:r w:rsidRPr="004758A5">
        <w:t>Post-construction stormwater program requirements shall be applicable to all construction activity and land developments including, but not limited to</w:t>
      </w:r>
      <w:r w:rsidR="00544BA2" w:rsidRPr="004758A5">
        <w:t>,</w:t>
      </w:r>
      <w:r w:rsidRPr="004758A5">
        <w:t xml:space="preserve"> site plan applications, subdivision applications, building applications, </w:t>
      </w:r>
      <w:r w:rsidR="00427786" w:rsidRPr="004758A5">
        <w:t xml:space="preserve">street projects, </w:t>
      </w:r>
      <w:r w:rsidRPr="004758A5">
        <w:t xml:space="preserve">and right-of-way applications from the City, unless exempt below. These provisions apply to all portions of any common plan of development or sale </w:t>
      </w:r>
      <w:r w:rsidR="009A7698" w:rsidRPr="004758A5">
        <w:t>that</w:t>
      </w:r>
      <w:r w:rsidRPr="004758A5">
        <w:t xml:space="preserve"> would cause the</w:t>
      </w:r>
      <w:r w:rsidRPr="004758A5">
        <w:rPr>
          <w:rFonts w:eastAsia="Times New Roman" w:cs="Arial"/>
        </w:rPr>
        <w:t xml:space="preserve"> </w:t>
      </w:r>
      <w:r w:rsidRPr="004758A5">
        <w:rPr>
          <w:rFonts w:eastAsia="Times New Roman" w:cs="Arial"/>
          <w:b/>
          <w:bCs/>
        </w:rPr>
        <w:t>disturbance of at least one acre of soil</w:t>
      </w:r>
      <w:r w:rsidRPr="004758A5">
        <w:rPr>
          <w:rFonts w:eastAsia="Times New Roman" w:cs="Arial"/>
        </w:rPr>
        <w:t xml:space="preserve"> </w:t>
      </w:r>
      <w:r w:rsidRPr="004758A5">
        <w:t>even though multiple, separate</w:t>
      </w:r>
      <w:r w:rsidR="009A7698" w:rsidRPr="004758A5">
        <w:t>,</w:t>
      </w:r>
      <w:r w:rsidRPr="004758A5">
        <w:t xml:space="preserve"> and distinct land development activities may </w:t>
      </w:r>
      <w:r w:rsidR="009A7698" w:rsidRPr="004758A5">
        <w:t>occur</w:t>
      </w:r>
      <w:r w:rsidRPr="004758A5">
        <w:t xml:space="preserve"> at different times on different schedules.</w:t>
      </w:r>
    </w:p>
    <w:p w14:paraId="5DE80F0A" w14:textId="77777777" w:rsidR="007E71FC" w:rsidRPr="004758A5" w:rsidRDefault="007E71FC" w:rsidP="009A7698">
      <w:pPr>
        <w:pStyle w:val="BodyText"/>
        <w:spacing w:after="120"/>
      </w:pPr>
      <w:r w:rsidRPr="004758A5">
        <w:t>Unless the master planning process has shown that stormwater treatment requirements can be transferred to a regional facility approved by the City, on-site BMPs are required for projects that disturb one acre of soil or more. Even if treatment requirements can be transferred to a regional facility, on-site facilities may still be necessary to protect downstream channels and the receiving stream.</w:t>
      </w:r>
    </w:p>
    <w:p w14:paraId="4475A480" w14:textId="3EB11A38" w:rsidR="007E71FC" w:rsidRPr="004758A5" w:rsidRDefault="007E71FC" w:rsidP="00544BA2">
      <w:pPr>
        <w:pStyle w:val="BodyText"/>
        <w:spacing w:after="120"/>
        <w:rPr>
          <w:rFonts w:eastAsia="Times New Roman" w:cs="Times New Roman"/>
        </w:rPr>
      </w:pPr>
      <w:r w:rsidRPr="004758A5">
        <w:lastRenderedPageBreak/>
        <w:t>The following activities are exempt from these requirements:</w:t>
      </w:r>
    </w:p>
    <w:p w14:paraId="703497C4" w14:textId="10278B32" w:rsidR="007E71FC" w:rsidRPr="004758A5" w:rsidRDefault="007E71FC" w:rsidP="0083736E">
      <w:pPr>
        <w:pStyle w:val="ReportBullet1"/>
      </w:pPr>
      <w:r w:rsidRPr="004758A5">
        <w:t>Any emergency activity that is necessary for the immediate protection of life, property, or natural resources; and</w:t>
      </w:r>
    </w:p>
    <w:p w14:paraId="2CAF2F2B" w14:textId="59826167" w:rsidR="007E71FC" w:rsidRPr="004758A5" w:rsidRDefault="007E71FC" w:rsidP="00FE05EB">
      <w:pPr>
        <w:pStyle w:val="ReportBullet1LAST"/>
      </w:pPr>
      <w:r w:rsidRPr="004758A5">
        <w:t>Construction activity that provides maintenance and repairs performed to maintain the original line and grade, hydraulic capacity, or original purpose of a facility.</w:t>
      </w:r>
    </w:p>
    <w:p w14:paraId="20513650" w14:textId="0F0363E4" w:rsidR="002D4DE5" w:rsidRPr="004758A5" w:rsidRDefault="002D4DE5" w:rsidP="00A414AF">
      <w:pPr>
        <w:pStyle w:val="Heading2"/>
      </w:pPr>
      <w:bookmarkStart w:id="4" w:name="_Toc46841982"/>
      <w:r w:rsidRPr="004758A5">
        <w:t>General Planning and Design Guidelines</w:t>
      </w:r>
      <w:bookmarkEnd w:id="4"/>
    </w:p>
    <w:p w14:paraId="290621D8" w14:textId="686FDC82" w:rsidR="00FB670B" w:rsidRPr="004758A5" w:rsidRDefault="00FB670B" w:rsidP="00544BA2">
      <w:pPr>
        <w:pStyle w:val="BodyText"/>
        <w:spacing w:after="120"/>
      </w:pPr>
      <w:r w:rsidRPr="004758A5">
        <w:t xml:space="preserve">The following general planning and design guidelines for </w:t>
      </w:r>
      <w:r w:rsidR="003D2695" w:rsidRPr="004758A5">
        <w:t xml:space="preserve">post-construction stormwater </w:t>
      </w:r>
      <w:r w:rsidR="001076DA" w:rsidRPr="004758A5">
        <w:t>BMPs</w:t>
      </w:r>
      <w:r w:rsidRPr="004758A5">
        <w:t xml:space="preserve"> are recommended when developing a water quality control strategy: </w:t>
      </w:r>
    </w:p>
    <w:p w14:paraId="101BCC77" w14:textId="7EE2C23E" w:rsidR="00FB670B" w:rsidRPr="004758A5" w:rsidRDefault="00FB670B" w:rsidP="0083736E">
      <w:pPr>
        <w:pStyle w:val="ReportBullet1"/>
      </w:pPr>
      <w:r w:rsidRPr="004758A5">
        <w:t>Promote natural infiltration of urban runoff by minimizing onsite impervious areas and preserving natural, broad drainageways.</w:t>
      </w:r>
    </w:p>
    <w:p w14:paraId="73E8AD09" w14:textId="0035942B" w:rsidR="00FB670B" w:rsidRPr="004758A5" w:rsidRDefault="00FB670B" w:rsidP="0083736E">
      <w:pPr>
        <w:pStyle w:val="ReportBullet1"/>
      </w:pPr>
      <w:r w:rsidRPr="004758A5">
        <w:t>Minimize directly connected impervious areas by providing grassed buffer zones between impervious surfaces. Divert runoff from impervious areas to pervious surfaces before the flows enter surface drainageways.</w:t>
      </w:r>
    </w:p>
    <w:p w14:paraId="4043298E" w14:textId="7E5DDBCE" w:rsidR="00FB670B" w:rsidRPr="004758A5" w:rsidRDefault="00FB670B" w:rsidP="0083736E">
      <w:pPr>
        <w:pStyle w:val="ReportBullet1"/>
      </w:pPr>
      <w:r w:rsidRPr="004758A5">
        <w:t>Locate BMPs in areas that avoid creating a nuisance and the need for increased maintenance.</w:t>
      </w:r>
    </w:p>
    <w:p w14:paraId="6B9E0D04" w14:textId="6149E252" w:rsidR="00FB670B" w:rsidRPr="004758A5" w:rsidRDefault="00FB670B" w:rsidP="0083736E">
      <w:pPr>
        <w:pStyle w:val="ReportBullet1"/>
      </w:pPr>
      <w:r w:rsidRPr="004758A5">
        <w:t>Provide multiple accesses to facilities to improve maintenance capabilities.</w:t>
      </w:r>
    </w:p>
    <w:p w14:paraId="296649E4" w14:textId="3DC7BEF8" w:rsidR="00FB670B" w:rsidRPr="004758A5" w:rsidRDefault="00FB670B" w:rsidP="0083736E">
      <w:pPr>
        <w:pStyle w:val="ReportBullet1"/>
      </w:pPr>
      <w:r w:rsidRPr="004758A5">
        <w:t>Revegetate and/or stabilize all areas disturbed by construction activities and all drainageways created as a part of a development.</w:t>
      </w:r>
    </w:p>
    <w:p w14:paraId="542D77FC" w14:textId="4CE6262D" w:rsidR="00FB670B" w:rsidRPr="004758A5" w:rsidRDefault="00FB670B" w:rsidP="0083736E">
      <w:pPr>
        <w:pStyle w:val="ReportBullet1"/>
      </w:pPr>
      <w:r w:rsidRPr="004758A5">
        <w:t>Ensure the plantings (e.g.</w:t>
      </w:r>
      <w:r w:rsidR="009A7698" w:rsidRPr="004758A5">
        <w:t>,</w:t>
      </w:r>
      <w:r w:rsidRPr="004758A5">
        <w:t xml:space="preserve"> grass) are established before the initial owner’s obligation is released and maintenance efforts begin.</w:t>
      </w:r>
    </w:p>
    <w:p w14:paraId="25C106B1" w14:textId="01C07A8F" w:rsidR="0083736E" w:rsidRPr="004758A5" w:rsidRDefault="00FB670B" w:rsidP="00FE05EB">
      <w:pPr>
        <w:pStyle w:val="ReportBullet1LAST"/>
      </w:pPr>
      <w:r w:rsidRPr="004758A5">
        <w:t xml:space="preserve">Select the appropriate option for the control objectives, specific conditions at the site, </w:t>
      </w:r>
      <w:r w:rsidR="001E6BFC" w:rsidRPr="004758A5">
        <w:t xml:space="preserve">and </w:t>
      </w:r>
      <w:r w:rsidRPr="004758A5">
        <w:t xml:space="preserve">proper implementation and maintenance for the most successful </w:t>
      </w:r>
      <w:r w:rsidR="009A7698" w:rsidRPr="004758A5">
        <w:t>BMP</w:t>
      </w:r>
      <w:r w:rsidRPr="004758A5">
        <w:t>.</w:t>
      </w:r>
    </w:p>
    <w:p w14:paraId="3DF96B5E" w14:textId="71C675FA" w:rsidR="002D4DE5" w:rsidRPr="004758A5" w:rsidRDefault="002D4DE5" w:rsidP="009F66A5">
      <w:pPr>
        <w:pStyle w:val="Heading3"/>
        <w:rPr>
          <w:color w:val="auto"/>
        </w:rPr>
      </w:pPr>
      <w:bookmarkStart w:id="5" w:name="_Toc46841983"/>
      <w:r w:rsidRPr="004758A5">
        <w:t>Ownership and Maintenance of Best Management</w:t>
      </w:r>
      <w:r w:rsidRPr="004758A5">
        <w:rPr>
          <w:color w:val="auto"/>
        </w:rPr>
        <w:t xml:space="preserve"> </w:t>
      </w:r>
      <w:r w:rsidRPr="004758A5">
        <w:t>Practices</w:t>
      </w:r>
      <w:bookmarkEnd w:id="5"/>
    </w:p>
    <w:p w14:paraId="0E9A5FFF" w14:textId="29228605" w:rsidR="005C6AE7" w:rsidRPr="004758A5" w:rsidRDefault="001E6BFC" w:rsidP="00FE05EB">
      <w:pPr>
        <w:pStyle w:val="BodyText"/>
      </w:pPr>
      <w:r w:rsidRPr="004758A5">
        <w:t xml:space="preserve">Proposed </w:t>
      </w:r>
      <w:r w:rsidR="00E16604" w:rsidRPr="004758A5">
        <w:t>BMP</w:t>
      </w:r>
      <w:r w:rsidR="001407F8" w:rsidRPr="004758A5">
        <w:t>s</w:t>
      </w:r>
      <w:r w:rsidR="00E16604" w:rsidRPr="004758A5">
        <w:t xml:space="preserve">, along with all inlet and outlet structures and/or channels, are to be owned and maintained by the developer or a property-owners’ association unless </w:t>
      </w:r>
      <w:r w:rsidR="009A7698" w:rsidRPr="004758A5">
        <w:t xml:space="preserve">the City has approved </w:t>
      </w:r>
      <w:r w:rsidR="00E16604" w:rsidRPr="004758A5">
        <w:t xml:space="preserve">a different </w:t>
      </w:r>
      <w:r w:rsidR="00A414AF" w:rsidRPr="004758A5">
        <w:t xml:space="preserve">ownership or </w:t>
      </w:r>
      <w:r w:rsidR="00E16604" w:rsidRPr="004758A5">
        <w:t xml:space="preserve">maintenance arrangement. </w:t>
      </w:r>
      <w:r w:rsidR="00A414AF" w:rsidRPr="004758A5">
        <w:t>Post-construction stormwater</w:t>
      </w:r>
      <w:r w:rsidR="00E16604" w:rsidRPr="004758A5">
        <w:t xml:space="preserve"> BMPs are part of the storm drainage system and </w:t>
      </w:r>
      <w:r w:rsidRPr="004758A5">
        <w:t>shall remain permanently functional as such unless or until the City relieves the owner of such responsibility in writing. Documentation of the BMP and owner maintenance responsibility will be made in permanent records such as a plat, agreement, or other record acceptable to the City</w:t>
      </w:r>
      <w:r w:rsidR="005C6AE7" w:rsidRPr="004758A5">
        <w:t>.</w:t>
      </w:r>
    </w:p>
    <w:p w14:paraId="11045714" w14:textId="423F39D4" w:rsidR="002D4DE5" w:rsidRPr="004758A5" w:rsidRDefault="002D4DE5" w:rsidP="005C6AE7">
      <w:pPr>
        <w:pStyle w:val="Heading2"/>
      </w:pPr>
      <w:bookmarkStart w:id="6" w:name="_Toc46841984"/>
      <w:r w:rsidRPr="004758A5">
        <w:t>Design Criteria</w:t>
      </w:r>
      <w:bookmarkEnd w:id="6"/>
    </w:p>
    <w:p w14:paraId="212D8FCB" w14:textId="3D5DE3AF" w:rsidR="009A7698" w:rsidRPr="004758A5" w:rsidRDefault="00E16604" w:rsidP="00FE05EB">
      <w:pPr>
        <w:pStyle w:val="BodyText"/>
      </w:pPr>
      <w:r w:rsidRPr="004758A5">
        <w:t xml:space="preserve">The City will require new and redevelopment projects to satisfy minimum site performance standards that address water quality. The methodology </w:t>
      </w:r>
      <w:r w:rsidR="00274912" w:rsidRPr="004758A5">
        <w:t xml:space="preserve">for calculating the Water Quality Control Volume (WQCV) and/or Water Quality Volume Discharge Rate (Qwq) </w:t>
      </w:r>
      <w:r w:rsidRPr="004758A5">
        <w:t>is based on average daily rainfall data applied to three zones across the state (</w:t>
      </w:r>
      <w:r w:rsidR="009A7698" w:rsidRPr="004758A5">
        <w:fldChar w:fldCharType="begin"/>
      </w:r>
      <w:r w:rsidR="009A7698" w:rsidRPr="004758A5">
        <w:instrText xml:space="preserve"> REF _Ref46408731 \h </w:instrText>
      </w:r>
      <w:r w:rsidR="009A7698" w:rsidRPr="004758A5">
        <w:fldChar w:fldCharType="separate"/>
      </w:r>
      <w:r w:rsidR="004758A5" w:rsidRPr="004758A5">
        <w:t xml:space="preserve">Table </w:t>
      </w:r>
      <w:r w:rsidR="004758A5">
        <w:rPr>
          <w:noProof/>
        </w:rPr>
        <w:t>9</w:t>
      </w:r>
      <w:r w:rsidR="004758A5" w:rsidRPr="004758A5">
        <w:noBreakHyphen/>
      </w:r>
      <w:r w:rsidR="004758A5">
        <w:rPr>
          <w:noProof/>
        </w:rPr>
        <w:t>1</w:t>
      </w:r>
      <w:r w:rsidR="009A7698" w:rsidRPr="004758A5">
        <w:fldChar w:fldCharType="end"/>
      </w:r>
      <w:r w:rsidRPr="004758A5">
        <w:t>). From that data the runoff amount is calculated and applied to the treatment drainage area to get the WQCV or Qwq.</w:t>
      </w:r>
    </w:p>
    <w:p w14:paraId="4905ABDA" w14:textId="77777777" w:rsidR="009A7698" w:rsidRPr="004758A5" w:rsidRDefault="009A7698">
      <w:r w:rsidRPr="004758A5">
        <w:br w:type="page"/>
      </w:r>
    </w:p>
    <w:p w14:paraId="7CE570EF" w14:textId="46ABAB1F" w:rsidR="002D4DE5" w:rsidRPr="004758A5" w:rsidRDefault="002D4DE5" w:rsidP="002D4DE5">
      <w:pPr>
        <w:pStyle w:val="Heading3"/>
      </w:pPr>
      <w:bookmarkStart w:id="7" w:name="_Toc46841985"/>
      <w:r w:rsidRPr="004758A5">
        <w:lastRenderedPageBreak/>
        <w:t>New Development</w:t>
      </w:r>
      <w:bookmarkEnd w:id="7"/>
      <w:r w:rsidRPr="004758A5">
        <w:t xml:space="preserve"> </w:t>
      </w:r>
    </w:p>
    <w:p w14:paraId="79434856" w14:textId="53812136" w:rsidR="002D4DE5" w:rsidRPr="004758A5" w:rsidRDefault="00E16604" w:rsidP="00FE05EB">
      <w:pPr>
        <w:pStyle w:val="BodyText"/>
      </w:pPr>
      <w:r w:rsidRPr="004758A5">
        <w:t xml:space="preserve">For new development sites that </w:t>
      </w:r>
      <w:r w:rsidR="002A52BD" w:rsidRPr="004758A5">
        <w:t xml:space="preserve">have a land disturbance of one acre or </w:t>
      </w:r>
      <w:r w:rsidR="00DB1B64" w:rsidRPr="004758A5">
        <w:t>greater</w:t>
      </w:r>
      <w:r w:rsidR="009A7698" w:rsidRPr="004758A5">
        <w:t>,</w:t>
      </w:r>
      <w:r w:rsidR="00DB1B64" w:rsidRPr="004758A5">
        <w:t xml:space="preserve"> the</w:t>
      </w:r>
      <w:r w:rsidR="002A52BD" w:rsidRPr="004758A5">
        <w:t xml:space="preserve"> </w:t>
      </w:r>
      <w:r w:rsidR="00A414AF" w:rsidRPr="004758A5">
        <w:t xml:space="preserve">WQCV </w:t>
      </w:r>
      <w:r w:rsidR="002A52BD" w:rsidRPr="004758A5">
        <w:t>shall be</w:t>
      </w:r>
      <w:r w:rsidR="00083909" w:rsidRPr="004758A5">
        <w:t xml:space="preserve"> based on</w:t>
      </w:r>
      <w:r w:rsidR="002A52BD" w:rsidRPr="004758A5">
        <w:t xml:space="preserve"> </w:t>
      </w:r>
      <w:r w:rsidR="00083909" w:rsidRPr="004758A5">
        <w:t>the 80th percentile rainfall event</w:t>
      </w:r>
      <w:r w:rsidR="00D5566A" w:rsidRPr="004758A5">
        <w:t>, at a minimum</w:t>
      </w:r>
      <w:r w:rsidR="002A52BD" w:rsidRPr="004758A5">
        <w:t xml:space="preserve">. </w:t>
      </w:r>
      <w:r w:rsidR="00CE41E0" w:rsidRPr="004758A5">
        <w:t>WQCV</w:t>
      </w:r>
      <w:r w:rsidR="002A52BD" w:rsidRPr="004758A5">
        <w:t xml:space="preserve"> shall be calculated using Equation </w:t>
      </w:r>
      <w:r w:rsidR="00D3594A" w:rsidRPr="004758A5">
        <w:t>9</w:t>
      </w:r>
      <w:r w:rsidR="002A52BD" w:rsidRPr="004758A5">
        <w:t>.1</w:t>
      </w:r>
      <w:r w:rsidR="00D3594A" w:rsidRPr="004758A5">
        <w:t>.</w:t>
      </w:r>
      <w:r w:rsidR="002A52BD" w:rsidRPr="004758A5">
        <w:t xml:space="preserve"> </w:t>
      </w:r>
    </w:p>
    <w:p w14:paraId="3E0E7158" w14:textId="1DCDC507" w:rsidR="002A52BD" w:rsidRPr="004758A5" w:rsidRDefault="002A52BD" w:rsidP="00544BA2">
      <w:pPr>
        <w:pStyle w:val="BodyText"/>
        <w:spacing w:after="120"/>
      </w:pPr>
      <w:r w:rsidRPr="004758A5">
        <w:t xml:space="preserve">New development requirements apply to those areas </w:t>
      </w:r>
      <w:r w:rsidR="009A7698" w:rsidRPr="004758A5">
        <w:t>that</w:t>
      </w:r>
      <w:r w:rsidRPr="004758A5">
        <w:t xml:space="preserve"> are being platted for development or have been platted but not built and are within the </w:t>
      </w:r>
      <w:r w:rsidR="00DB1B64" w:rsidRPr="004758A5">
        <w:t xml:space="preserve">extraterritorial jurisdiction of the </w:t>
      </w:r>
      <w:r w:rsidR="009A7698" w:rsidRPr="004758A5">
        <w:t>City:</w:t>
      </w:r>
      <w:r w:rsidRPr="004758A5">
        <w:t xml:space="preserve"> </w:t>
      </w:r>
    </w:p>
    <w:p w14:paraId="63BC7DFD" w14:textId="799E99B1" w:rsidR="00AD7248" w:rsidRPr="004758A5" w:rsidRDefault="00AD7248" w:rsidP="0083736E">
      <w:pPr>
        <w:pStyle w:val="ReportBullet1"/>
      </w:pPr>
      <w:r w:rsidRPr="004758A5">
        <w:t>Example 1</w:t>
      </w:r>
      <w:r w:rsidR="009A7698" w:rsidRPr="004758A5">
        <w:t>:</w:t>
      </w:r>
      <w:r w:rsidRPr="004758A5">
        <w:t xml:space="preserve"> A parcel that had not been platted or zoned for development (i.e.</w:t>
      </w:r>
      <w:r w:rsidR="009A7698" w:rsidRPr="004758A5">
        <w:t>,</w:t>
      </w:r>
      <w:r w:rsidRPr="004758A5">
        <w:t xml:space="preserve"> agricultural land) is being platted as a subdivision for single family residential and is greater than one acre. The subdivision would be required to meet the minimum standard set forth herein for new development.</w:t>
      </w:r>
    </w:p>
    <w:p w14:paraId="513A4EC4" w14:textId="2987B6F1" w:rsidR="00AD7248" w:rsidRPr="004758A5" w:rsidRDefault="00AD7248" w:rsidP="0083736E">
      <w:pPr>
        <w:pStyle w:val="ReportBullet1"/>
      </w:pPr>
      <w:r w:rsidRPr="004758A5">
        <w:t>Example 2</w:t>
      </w:r>
      <w:r w:rsidR="009A7698" w:rsidRPr="004758A5">
        <w:t>:</w:t>
      </w:r>
      <w:r w:rsidRPr="004758A5">
        <w:t xml:space="preserve"> Several parcels that have never been built on are being re-platted for development and the total area being re-platted is greater than one acre. The re-platted parcels would be required to follow new development standards.  </w:t>
      </w:r>
    </w:p>
    <w:p w14:paraId="2A1C662D" w14:textId="09C3C021" w:rsidR="0088350B" w:rsidRPr="004758A5" w:rsidRDefault="007E71FC" w:rsidP="0083736E">
      <w:pPr>
        <w:pStyle w:val="ReportBullet1"/>
      </w:pPr>
      <w:r w:rsidRPr="004758A5">
        <w:t xml:space="preserve">Example </w:t>
      </w:r>
      <w:r w:rsidR="00AD7248" w:rsidRPr="004758A5">
        <w:t>3</w:t>
      </w:r>
      <w:r w:rsidR="009A7698" w:rsidRPr="004758A5">
        <w:t>:</w:t>
      </w:r>
      <w:r w:rsidRPr="004758A5">
        <w:t xml:space="preserve"> An undeveloped parcel is being rezoned for another use and is greater than </w:t>
      </w:r>
      <w:r w:rsidR="009A7698" w:rsidRPr="004758A5">
        <w:t>one</w:t>
      </w:r>
      <w:r w:rsidRPr="004758A5">
        <w:t xml:space="preserve"> acre. The rezoned parcel would be required to follow new development standards.</w:t>
      </w:r>
    </w:p>
    <w:p w14:paraId="1C37A5F5" w14:textId="4490F643" w:rsidR="0088350B" w:rsidRPr="004758A5" w:rsidRDefault="007E71FC" w:rsidP="00FE05EB">
      <w:pPr>
        <w:pStyle w:val="ReportBullet1LAST"/>
      </w:pPr>
      <w:r w:rsidRPr="004758A5">
        <w:t>Example 4</w:t>
      </w:r>
      <w:r w:rsidR="009A7698" w:rsidRPr="004758A5">
        <w:t>:</w:t>
      </w:r>
      <w:r w:rsidRPr="004758A5">
        <w:t xml:space="preserve"> A warehouse has been proposed on an undeveloped parcel in an industrial area. Site disturbance is greater than </w:t>
      </w:r>
      <w:r w:rsidR="009A7698" w:rsidRPr="004758A5">
        <w:t>one</w:t>
      </w:r>
      <w:r w:rsidRPr="004758A5">
        <w:t xml:space="preserve"> acre. The proposed development would be required to follow new development standards. </w:t>
      </w:r>
    </w:p>
    <w:p w14:paraId="41730752" w14:textId="42D09842" w:rsidR="002D4DE5" w:rsidRPr="004758A5" w:rsidRDefault="002A52BD" w:rsidP="002D4DE5">
      <w:pPr>
        <w:pStyle w:val="Heading3"/>
      </w:pPr>
      <w:bookmarkStart w:id="8" w:name="_Toc46841986"/>
      <w:r w:rsidRPr="004758A5">
        <w:t>Redevelopment</w:t>
      </w:r>
      <w:bookmarkEnd w:id="8"/>
      <w:r w:rsidRPr="004758A5">
        <w:t xml:space="preserve"> </w:t>
      </w:r>
    </w:p>
    <w:p w14:paraId="7AA75D94" w14:textId="084442B5" w:rsidR="00986150" w:rsidRPr="004758A5" w:rsidRDefault="002A52BD" w:rsidP="00FE05EB">
      <w:pPr>
        <w:pStyle w:val="BodyText"/>
      </w:pPr>
      <w:r w:rsidRPr="004758A5">
        <w:t>For redevelopment sites that have land disturbance of one acre or greater</w:t>
      </w:r>
      <w:r w:rsidR="009A7698" w:rsidRPr="004758A5">
        <w:t>,</w:t>
      </w:r>
      <w:r w:rsidR="001407F8" w:rsidRPr="004758A5">
        <w:t xml:space="preserve"> </w:t>
      </w:r>
      <w:r w:rsidRPr="004758A5">
        <w:t xml:space="preserve">the </w:t>
      </w:r>
      <w:r w:rsidR="00083909" w:rsidRPr="004758A5">
        <w:t>WQCV</w:t>
      </w:r>
      <w:r w:rsidR="001407F8" w:rsidRPr="004758A5">
        <w:t xml:space="preserve"> </w:t>
      </w:r>
      <w:r w:rsidRPr="004758A5">
        <w:t xml:space="preserve">shall </w:t>
      </w:r>
      <w:r w:rsidR="00083909" w:rsidRPr="004758A5">
        <w:t>be b</w:t>
      </w:r>
      <w:r w:rsidR="00A414AF" w:rsidRPr="004758A5">
        <w:t>a</w:t>
      </w:r>
      <w:r w:rsidR="00083909" w:rsidRPr="004758A5">
        <w:t>sed on the 70th percentile rainfall event</w:t>
      </w:r>
      <w:r w:rsidR="00D5566A" w:rsidRPr="004758A5">
        <w:t>, at a minimum</w:t>
      </w:r>
      <w:r w:rsidRPr="004758A5">
        <w:t xml:space="preserve">. The </w:t>
      </w:r>
      <w:r w:rsidR="00CE41E0" w:rsidRPr="004758A5">
        <w:t xml:space="preserve">WQCV </w:t>
      </w:r>
      <w:r w:rsidRPr="004758A5">
        <w:t xml:space="preserve">shall be calculated </w:t>
      </w:r>
      <w:r w:rsidR="00A414AF" w:rsidRPr="004758A5">
        <w:t>using</w:t>
      </w:r>
      <w:r w:rsidRPr="004758A5">
        <w:t xml:space="preserve"> Equation </w:t>
      </w:r>
      <w:r w:rsidR="00D3594A" w:rsidRPr="004758A5">
        <w:t>9</w:t>
      </w:r>
      <w:r w:rsidRPr="004758A5">
        <w:t>.1</w:t>
      </w:r>
      <w:r w:rsidR="00D3594A" w:rsidRPr="004758A5">
        <w:t>.</w:t>
      </w:r>
      <w:r w:rsidRPr="004758A5">
        <w:t xml:space="preserve"> </w:t>
      </w:r>
    </w:p>
    <w:p w14:paraId="5767D51E" w14:textId="6BDBAA30" w:rsidR="00986150" w:rsidRPr="004758A5" w:rsidRDefault="00986150" w:rsidP="00544BA2">
      <w:pPr>
        <w:pStyle w:val="BodyText"/>
        <w:spacing w:after="120"/>
      </w:pPr>
      <w:r w:rsidRPr="004758A5">
        <w:t xml:space="preserve">Redevelopment requirements apply to those areas </w:t>
      </w:r>
      <w:r w:rsidR="009A7698" w:rsidRPr="004758A5">
        <w:t>that</w:t>
      </w:r>
      <w:r w:rsidRPr="004758A5">
        <w:t xml:space="preserve"> have been platted and built on within an urban area prior to rezoning, re-platting, preliminary platting, or issuance of a building permit for the redevelopment</w:t>
      </w:r>
      <w:r w:rsidR="009A7698" w:rsidRPr="004758A5">
        <w:t>:</w:t>
      </w:r>
    </w:p>
    <w:p w14:paraId="5725C2E5" w14:textId="7B18AE95" w:rsidR="00986150" w:rsidRPr="004758A5" w:rsidRDefault="00986150" w:rsidP="00FE05EB">
      <w:pPr>
        <w:pStyle w:val="ReportBullet1"/>
      </w:pPr>
      <w:r w:rsidRPr="004758A5">
        <w:t>Example 1</w:t>
      </w:r>
      <w:r w:rsidR="009A7698" w:rsidRPr="004758A5">
        <w:t>:</w:t>
      </w:r>
      <w:r w:rsidRPr="004758A5">
        <w:t xml:space="preserve"> A parcel that included a structure that was purchased and demolished by the City or other entity was sold or deeded over to a new property owner for constructing </w:t>
      </w:r>
      <w:r w:rsidR="009A7698" w:rsidRPr="004758A5">
        <w:t>their</w:t>
      </w:r>
      <w:r w:rsidRPr="004758A5">
        <w:t xml:space="preserve"> own building. Site disturbance is greater than </w:t>
      </w:r>
      <w:r w:rsidR="0071566A" w:rsidRPr="004758A5">
        <w:t xml:space="preserve">one </w:t>
      </w:r>
      <w:r w:rsidRPr="004758A5">
        <w:t>acre. This site would be required to meet the minimum standard for redevelopment.</w:t>
      </w:r>
    </w:p>
    <w:p w14:paraId="40E98F43" w14:textId="05A6415B" w:rsidR="0053590F" w:rsidRPr="004758A5" w:rsidRDefault="00986150" w:rsidP="00FE05EB">
      <w:pPr>
        <w:pStyle w:val="ReportBullet1LAST"/>
      </w:pPr>
      <w:r w:rsidRPr="004758A5">
        <w:t xml:space="preserve"> Example 2</w:t>
      </w:r>
      <w:r w:rsidR="009A7698" w:rsidRPr="004758A5">
        <w:t>:</w:t>
      </w:r>
      <w:r w:rsidRPr="004758A5">
        <w:t xml:space="preserve"> A parcel with a building has been sold </w:t>
      </w:r>
      <w:r w:rsidR="009A7698" w:rsidRPr="004758A5">
        <w:t xml:space="preserve">and </w:t>
      </w:r>
      <w:r w:rsidRPr="004758A5">
        <w:t xml:space="preserve">is being converted into a new use with expanded parking. Site disturbance is greater than </w:t>
      </w:r>
      <w:r w:rsidR="0071566A" w:rsidRPr="004758A5">
        <w:t xml:space="preserve">one </w:t>
      </w:r>
      <w:r w:rsidRPr="004758A5">
        <w:t>acre. This parcel would be subject to requirements for redevelopment.</w:t>
      </w:r>
    </w:p>
    <w:p w14:paraId="3D50DB1B" w14:textId="3C45C079" w:rsidR="0053590F" w:rsidRPr="004758A5" w:rsidRDefault="0054544F" w:rsidP="0053590F">
      <w:pPr>
        <w:pStyle w:val="Heading3"/>
      </w:pPr>
      <w:bookmarkStart w:id="9" w:name="_Toc46841987"/>
      <w:r w:rsidRPr="004758A5">
        <w:t>Percentile Rainfall Event</w:t>
      </w:r>
      <w:bookmarkEnd w:id="9"/>
    </w:p>
    <w:p w14:paraId="555C8CCF" w14:textId="2CEB1B5D" w:rsidR="0053590F" w:rsidRPr="004758A5" w:rsidRDefault="0053590F" w:rsidP="00FE05EB">
      <w:pPr>
        <w:pStyle w:val="BodyText"/>
      </w:pPr>
      <w:r w:rsidRPr="004758A5">
        <w:t xml:space="preserve">The percentile rainfall event varies across the state. Three regional rainfall zones have been established to support the calculation of WQCV or </w:t>
      </w:r>
      <w:r w:rsidR="001407F8" w:rsidRPr="004758A5">
        <w:t xml:space="preserve">Qwq </w:t>
      </w:r>
      <w:r w:rsidR="00003C69" w:rsidRPr="004758A5">
        <w:t>for</w:t>
      </w:r>
      <w:r w:rsidRPr="004758A5">
        <w:t xml:space="preserve"> MS4</w:t>
      </w:r>
      <w:r w:rsidR="00003C69" w:rsidRPr="004758A5">
        <w:t>s</w:t>
      </w:r>
      <w:r w:rsidRPr="004758A5">
        <w:t xml:space="preserve"> in Nebraska. </w:t>
      </w:r>
    </w:p>
    <w:p w14:paraId="45A8FCE9" w14:textId="53E4F92C" w:rsidR="009A7698" w:rsidRPr="004758A5" w:rsidRDefault="0053590F" w:rsidP="00FE05EB">
      <w:pPr>
        <w:pStyle w:val="BodyText"/>
      </w:pPr>
      <w:r w:rsidRPr="004758A5">
        <w:t xml:space="preserve">Rainfall amounts by region for new and redevelopment are provided in </w:t>
      </w:r>
      <w:r w:rsidR="009A7698" w:rsidRPr="004758A5">
        <w:fldChar w:fldCharType="begin"/>
      </w:r>
      <w:r w:rsidR="009A7698" w:rsidRPr="004758A5">
        <w:instrText xml:space="preserve"> REF _Ref46408731 \h </w:instrText>
      </w:r>
      <w:r w:rsidR="009A7698" w:rsidRPr="004758A5">
        <w:fldChar w:fldCharType="separate"/>
      </w:r>
      <w:r w:rsidR="004758A5" w:rsidRPr="004758A5">
        <w:t xml:space="preserve">Table </w:t>
      </w:r>
      <w:r w:rsidR="004758A5">
        <w:rPr>
          <w:noProof/>
        </w:rPr>
        <w:t>9</w:t>
      </w:r>
      <w:r w:rsidR="004758A5" w:rsidRPr="004758A5">
        <w:noBreakHyphen/>
      </w:r>
      <w:r w:rsidR="004758A5">
        <w:rPr>
          <w:noProof/>
        </w:rPr>
        <w:t>1</w:t>
      </w:r>
      <w:r w:rsidR="009A7698" w:rsidRPr="004758A5">
        <w:fldChar w:fldCharType="end"/>
      </w:r>
      <w:r w:rsidRPr="004758A5">
        <w:t xml:space="preserve">. These values will be used to calculate </w:t>
      </w:r>
      <w:r w:rsidR="0071566A" w:rsidRPr="004758A5">
        <w:t>the</w:t>
      </w:r>
      <w:r w:rsidRPr="004758A5">
        <w:t xml:space="preserve"> </w:t>
      </w:r>
      <w:r w:rsidR="008467D7" w:rsidRPr="004758A5">
        <w:t>WQCV.</w:t>
      </w:r>
    </w:p>
    <w:p w14:paraId="7E0BFA91" w14:textId="77777777" w:rsidR="009A7698" w:rsidRPr="004758A5" w:rsidRDefault="009A7698">
      <w:r w:rsidRPr="004758A5">
        <w:br w:type="page"/>
      </w:r>
    </w:p>
    <w:p w14:paraId="66CB256A" w14:textId="7ACEC690" w:rsidR="0053590F" w:rsidRPr="004758A5" w:rsidRDefault="005C6AE7" w:rsidP="005C6AE7">
      <w:pPr>
        <w:pStyle w:val="TableCaptionTitle"/>
        <w:ind w:left="1440" w:hanging="1440"/>
      </w:pPr>
      <w:bookmarkStart w:id="10" w:name="_Ref46408731"/>
      <w:bookmarkStart w:id="11" w:name="_Toc46842092"/>
      <w:bookmarkStart w:id="12" w:name="_Toc46923980"/>
      <w:r w:rsidRPr="004758A5">
        <w:lastRenderedPageBreak/>
        <w:t xml:space="preserve">Table </w:t>
      </w:r>
      <w:fldSimple w:instr=" STYLEREF 1 \s ">
        <w:r w:rsidR="004758A5">
          <w:rPr>
            <w:noProof/>
          </w:rPr>
          <w:t>9</w:t>
        </w:r>
      </w:fldSimple>
      <w:r w:rsidRPr="004758A5">
        <w:noBreakHyphen/>
      </w:r>
      <w:fldSimple w:instr=" SEQ Table \* ARABIC \s 1 ">
        <w:r w:rsidR="004758A5">
          <w:rPr>
            <w:noProof/>
          </w:rPr>
          <w:t>1</w:t>
        </w:r>
      </w:fldSimple>
      <w:bookmarkEnd w:id="10"/>
      <w:r w:rsidRPr="004758A5">
        <w:t>.</w:t>
      </w:r>
      <w:r w:rsidRPr="004758A5">
        <w:tab/>
      </w:r>
      <w:r w:rsidR="0053590F" w:rsidRPr="004758A5">
        <w:t>Rainfall Depth (P) By Region for Defined Percentile Rainfall Events</w:t>
      </w:r>
      <w:bookmarkEnd w:id="11"/>
      <w:bookmarkEnd w:id="12"/>
      <w:r w:rsidR="0053590F" w:rsidRPr="004758A5">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572"/>
        <w:gridCol w:w="2488"/>
      </w:tblGrid>
      <w:tr w:rsidR="00E004B0" w:rsidRPr="004758A5" w14:paraId="694C3D54" w14:textId="77777777" w:rsidTr="00273819">
        <w:trPr>
          <w:jc w:val="center"/>
        </w:trPr>
        <w:tc>
          <w:tcPr>
            <w:tcW w:w="2373" w:type="dxa"/>
            <w:vMerge w:val="restart"/>
            <w:tcBorders>
              <w:right w:val="single" w:sz="4" w:space="0" w:color="425563"/>
            </w:tcBorders>
            <w:shd w:val="clear" w:color="auto" w:fill="00677F"/>
            <w:vAlign w:val="center"/>
          </w:tcPr>
          <w:p w14:paraId="1A672E53" w14:textId="77777777" w:rsidR="0053590F" w:rsidRPr="004758A5" w:rsidRDefault="0053590F" w:rsidP="00C5517E">
            <w:pPr>
              <w:pStyle w:val="TableHeading"/>
              <w:spacing w:before="20" w:after="20"/>
            </w:pPr>
            <w:r w:rsidRPr="004758A5">
              <w:t>Applicable Region</w:t>
            </w:r>
          </w:p>
        </w:tc>
        <w:tc>
          <w:tcPr>
            <w:tcW w:w="5060" w:type="dxa"/>
            <w:gridSpan w:val="2"/>
            <w:tcBorders>
              <w:left w:val="single" w:sz="4" w:space="0" w:color="425563"/>
            </w:tcBorders>
            <w:shd w:val="clear" w:color="auto" w:fill="00677F"/>
          </w:tcPr>
          <w:p w14:paraId="0368DF54" w14:textId="77777777" w:rsidR="0053590F" w:rsidRPr="004758A5" w:rsidRDefault="0053590F" w:rsidP="00C5517E">
            <w:pPr>
              <w:pStyle w:val="TableHeading"/>
              <w:spacing w:before="20" w:after="20"/>
            </w:pPr>
            <w:r w:rsidRPr="004758A5">
              <w:t>Rainfall, P</w:t>
            </w:r>
          </w:p>
        </w:tc>
      </w:tr>
      <w:tr w:rsidR="00E004B0" w:rsidRPr="004758A5" w14:paraId="500987F2" w14:textId="77777777" w:rsidTr="00273819">
        <w:trPr>
          <w:jc w:val="center"/>
        </w:trPr>
        <w:tc>
          <w:tcPr>
            <w:tcW w:w="2373" w:type="dxa"/>
            <w:vMerge/>
            <w:tcBorders>
              <w:bottom w:val="single" w:sz="4" w:space="0" w:color="425563"/>
              <w:right w:val="single" w:sz="4" w:space="0" w:color="425563"/>
            </w:tcBorders>
            <w:shd w:val="clear" w:color="auto" w:fill="00677F"/>
          </w:tcPr>
          <w:p w14:paraId="2CD9B8FA" w14:textId="77777777" w:rsidR="0053590F" w:rsidRPr="004758A5" w:rsidRDefault="0053590F" w:rsidP="00C5517E">
            <w:pPr>
              <w:pStyle w:val="TableHeading"/>
              <w:spacing w:before="20" w:after="20"/>
            </w:pPr>
          </w:p>
        </w:tc>
        <w:tc>
          <w:tcPr>
            <w:tcW w:w="2572" w:type="dxa"/>
            <w:tcBorders>
              <w:top w:val="single" w:sz="4" w:space="0" w:color="425563"/>
              <w:left w:val="single" w:sz="4" w:space="0" w:color="425563"/>
              <w:bottom w:val="single" w:sz="4" w:space="0" w:color="425563"/>
              <w:right w:val="single" w:sz="4" w:space="0" w:color="425563"/>
            </w:tcBorders>
            <w:shd w:val="clear" w:color="auto" w:fill="00677F"/>
          </w:tcPr>
          <w:p w14:paraId="379A1328" w14:textId="2F7FBEEC" w:rsidR="0053590F" w:rsidRPr="004758A5" w:rsidRDefault="0053590F" w:rsidP="00C5517E">
            <w:pPr>
              <w:pStyle w:val="TableHeading"/>
              <w:spacing w:before="20" w:after="20"/>
            </w:pPr>
            <w:r w:rsidRPr="004758A5">
              <w:t>80th Percentile  Event  (New Development)</w:t>
            </w:r>
          </w:p>
        </w:tc>
        <w:tc>
          <w:tcPr>
            <w:tcW w:w="2488" w:type="dxa"/>
            <w:tcBorders>
              <w:top w:val="single" w:sz="4" w:space="0" w:color="425563" w:themeColor="accent1"/>
              <w:left w:val="single" w:sz="4" w:space="0" w:color="425563"/>
              <w:bottom w:val="single" w:sz="4" w:space="0" w:color="425563"/>
            </w:tcBorders>
            <w:shd w:val="clear" w:color="auto" w:fill="00677F"/>
          </w:tcPr>
          <w:p w14:paraId="2CDDB22F" w14:textId="77777777" w:rsidR="0053590F" w:rsidRPr="004758A5" w:rsidRDefault="0053590F" w:rsidP="00C5517E">
            <w:pPr>
              <w:pStyle w:val="TableHeading"/>
              <w:spacing w:before="20" w:after="20"/>
            </w:pPr>
            <w:r w:rsidRPr="004758A5">
              <w:t>70th Percentile Event    (Redevelopment)</w:t>
            </w:r>
          </w:p>
        </w:tc>
      </w:tr>
      <w:tr w:rsidR="00E004B0" w:rsidRPr="004758A5" w14:paraId="2A73E46C" w14:textId="77777777" w:rsidTr="00273819">
        <w:trPr>
          <w:jc w:val="center"/>
        </w:trPr>
        <w:tc>
          <w:tcPr>
            <w:tcW w:w="2373" w:type="dxa"/>
            <w:tcBorders>
              <w:top w:val="single" w:sz="4" w:space="0" w:color="425563"/>
              <w:bottom w:val="single" w:sz="4" w:space="0" w:color="425563"/>
              <w:right w:val="single" w:sz="4" w:space="0" w:color="425563"/>
            </w:tcBorders>
          </w:tcPr>
          <w:p w14:paraId="0FBD0AD2" w14:textId="467A9F5D" w:rsidR="0053590F" w:rsidRPr="004758A5" w:rsidRDefault="0053590F" w:rsidP="00C5517E">
            <w:pPr>
              <w:pStyle w:val="TableText"/>
              <w:spacing w:before="20" w:after="20"/>
              <w:ind w:left="288" w:hanging="288"/>
              <w:rPr>
                <w:b/>
                <w:bCs/>
              </w:rPr>
            </w:pPr>
            <w:r w:rsidRPr="004758A5">
              <w:rPr>
                <w:b/>
                <w:bCs/>
              </w:rPr>
              <w:t>A</w:t>
            </w:r>
            <w:r w:rsidR="00FE05EB" w:rsidRPr="004758A5">
              <w:rPr>
                <w:b/>
                <w:bCs/>
              </w:rPr>
              <w:tab/>
            </w:r>
            <w:r w:rsidRPr="004758A5">
              <w:rPr>
                <w:b/>
                <w:bCs/>
              </w:rPr>
              <w:t>(West)</w:t>
            </w:r>
          </w:p>
          <w:p w14:paraId="18B124B6" w14:textId="17653098" w:rsidR="00003C69" w:rsidRPr="004758A5" w:rsidRDefault="00003C69" w:rsidP="00C5517E">
            <w:pPr>
              <w:pStyle w:val="TableBullet"/>
              <w:spacing w:before="20" w:after="20"/>
              <w:ind w:left="576"/>
              <w:rPr>
                <w:rFonts w:cs="Arial"/>
                <w:bCs/>
              </w:rPr>
            </w:pPr>
            <w:r w:rsidRPr="004758A5">
              <w:t>Scottsbluff/Gering</w:t>
            </w:r>
          </w:p>
        </w:tc>
        <w:tc>
          <w:tcPr>
            <w:tcW w:w="2572" w:type="dxa"/>
            <w:tcBorders>
              <w:top w:val="single" w:sz="4" w:space="0" w:color="425563"/>
              <w:left w:val="single" w:sz="4" w:space="0" w:color="425563"/>
              <w:bottom w:val="single" w:sz="4" w:space="0" w:color="425563"/>
              <w:right w:val="single" w:sz="4" w:space="0" w:color="425563"/>
            </w:tcBorders>
            <w:vAlign w:val="center"/>
          </w:tcPr>
          <w:p w14:paraId="5EDA0CC4" w14:textId="77777777" w:rsidR="0053590F" w:rsidRPr="004758A5" w:rsidRDefault="0053590F" w:rsidP="00C5517E">
            <w:pPr>
              <w:pStyle w:val="TableText"/>
              <w:spacing w:before="20" w:after="20"/>
              <w:jc w:val="center"/>
            </w:pPr>
            <w:r w:rsidRPr="004758A5">
              <w:t>0.61”</w:t>
            </w:r>
          </w:p>
        </w:tc>
        <w:tc>
          <w:tcPr>
            <w:tcW w:w="2488" w:type="dxa"/>
            <w:tcBorders>
              <w:top w:val="single" w:sz="4" w:space="0" w:color="425563"/>
              <w:left w:val="single" w:sz="4" w:space="0" w:color="425563"/>
              <w:bottom w:val="single" w:sz="4" w:space="0" w:color="425563"/>
            </w:tcBorders>
            <w:vAlign w:val="center"/>
          </w:tcPr>
          <w:p w14:paraId="6E28B350" w14:textId="77777777" w:rsidR="0053590F" w:rsidRPr="004758A5" w:rsidRDefault="0053590F" w:rsidP="00C5517E">
            <w:pPr>
              <w:pStyle w:val="TableText"/>
              <w:spacing w:before="20" w:after="20"/>
              <w:jc w:val="center"/>
            </w:pPr>
            <w:r w:rsidRPr="004758A5">
              <w:t>0.44”</w:t>
            </w:r>
          </w:p>
        </w:tc>
      </w:tr>
      <w:tr w:rsidR="00E004B0" w:rsidRPr="004758A5" w14:paraId="06D63ACD" w14:textId="77777777" w:rsidTr="00273819">
        <w:trPr>
          <w:jc w:val="center"/>
        </w:trPr>
        <w:tc>
          <w:tcPr>
            <w:tcW w:w="2373" w:type="dxa"/>
            <w:tcBorders>
              <w:top w:val="single" w:sz="4" w:space="0" w:color="425563"/>
              <w:bottom w:val="single" w:sz="4" w:space="0" w:color="425563"/>
              <w:right w:val="single" w:sz="4" w:space="0" w:color="425563"/>
            </w:tcBorders>
          </w:tcPr>
          <w:p w14:paraId="1F261389" w14:textId="79FB5871" w:rsidR="0053590F" w:rsidRPr="004758A5" w:rsidRDefault="0053590F" w:rsidP="00C5517E">
            <w:pPr>
              <w:pStyle w:val="TableText"/>
              <w:spacing w:before="20" w:after="20"/>
              <w:ind w:left="288" w:hanging="288"/>
              <w:rPr>
                <w:b/>
                <w:bCs/>
              </w:rPr>
            </w:pPr>
            <w:r w:rsidRPr="004758A5">
              <w:rPr>
                <w:b/>
                <w:bCs/>
              </w:rPr>
              <w:t>B</w:t>
            </w:r>
            <w:r w:rsidR="00FE05EB" w:rsidRPr="004758A5">
              <w:rPr>
                <w:b/>
                <w:bCs/>
              </w:rPr>
              <w:tab/>
            </w:r>
            <w:r w:rsidRPr="004758A5">
              <w:rPr>
                <w:b/>
                <w:bCs/>
              </w:rPr>
              <w:t>(Central)</w:t>
            </w:r>
          </w:p>
          <w:p w14:paraId="3DBD758F" w14:textId="77777777" w:rsidR="00003C69" w:rsidRPr="004758A5" w:rsidRDefault="00003C69" w:rsidP="00C5517E">
            <w:pPr>
              <w:pStyle w:val="TableBullet"/>
              <w:spacing w:before="20" w:after="20"/>
              <w:ind w:left="576"/>
            </w:pPr>
            <w:r w:rsidRPr="004758A5">
              <w:t>Hastings</w:t>
            </w:r>
          </w:p>
          <w:p w14:paraId="3B0ECD7D" w14:textId="1EADC19C" w:rsidR="00003C69" w:rsidRPr="004758A5" w:rsidRDefault="00003C69" w:rsidP="00C5517E">
            <w:pPr>
              <w:pStyle w:val="TableBullet"/>
              <w:spacing w:before="20" w:after="20"/>
              <w:ind w:left="576"/>
              <w:rPr>
                <w:rFonts w:cs="Arial"/>
                <w:b/>
              </w:rPr>
            </w:pPr>
            <w:r w:rsidRPr="004758A5">
              <w:t>Lexington</w:t>
            </w:r>
          </w:p>
        </w:tc>
        <w:tc>
          <w:tcPr>
            <w:tcW w:w="2572" w:type="dxa"/>
            <w:tcBorders>
              <w:top w:val="single" w:sz="4" w:space="0" w:color="425563"/>
              <w:left w:val="single" w:sz="4" w:space="0" w:color="425563"/>
              <w:bottom w:val="single" w:sz="4" w:space="0" w:color="425563"/>
              <w:right w:val="single" w:sz="4" w:space="0" w:color="425563"/>
            </w:tcBorders>
            <w:vAlign w:val="center"/>
          </w:tcPr>
          <w:p w14:paraId="41EE0E79" w14:textId="77777777" w:rsidR="0053590F" w:rsidRPr="004758A5" w:rsidRDefault="0053590F" w:rsidP="00C5517E">
            <w:pPr>
              <w:pStyle w:val="TableText"/>
              <w:spacing w:before="20" w:after="20"/>
              <w:jc w:val="center"/>
            </w:pPr>
            <w:r w:rsidRPr="004758A5">
              <w:t>0.72”</w:t>
            </w:r>
          </w:p>
        </w:tc>
        <w:tc>
          <w:tcPr>
            <w:tcW w:w="2488" w:type="dxa"/>
            <w:tcBorders>
              <w:top w:val="single" w:sz="4" w:space="0" w:color="425563"/>
              <w:left w:val="single" w:sz="4" w:space="0" w:color="425563"/>
              <w:bottom w:val="single" w:sz="4" w:space="0" w:color="425563"/>
            </w:tcBorders>
            <w:vAlign w:val="center"/>
          </w:tcPr>
          <w:p w14:paraId="64AE1E88" w14:textId="77777777" w:rsidR="0053590F" w:rsidRPr="004758A5" w:rsidRDefault="0053590F" w:rsidP="00C5517E">
            <w:pPr>
              <w:pStyle w:val="TableText"/>
              <w:spacing w:before="20" w:after="20"/>
              <w:jc w:val="center"/>
            </w:pPr>
            <w:r w:rsidRPr="004758A5">
              <w:t>0.53”</w:t>
            </w:r>
          </w:p>
        </w:tc>
      </w:tr>
      <w:tr w:rsidR="0053590F" w:rsidRPr="004758A5" w14:paraId="6024ACF5" w14:textId="77777777" w:rsidTr="00273819">
        <w:trPr>
          <w:jc w:val="center"/>
        </w:trPr>
        <w:tc>
          <w:tcPr>
            <w:tcW w:w="2373" w:type="dxa"/>
            <w:tcBorders>
              <w:top w:val="single" w:sz="4" w:space="0" w:color="425563"/>
              <w:bottom w:val="single" w:sz="12" w:space="0" w:color="00677F" w:themeColor="accent3"/>
              <w:right w:val="single" w:sz="4" w:space="0" w:color="425563"/>
            </w:tcBorders>
          </w:tcPr>
          <w:p w14:paraId="6070F060" w14:textId="146B669A" w:rsidR="0053590F" w:rsidRPr="004758A5" w:rsidRDefault="0053590F" w:rsidP="00C5517E">
            <w:pPr>
              <w:pStyle w:val="TableText"/>
              <w:spacing w:before="20" w:after="20"/>
              <w:ind w:left="288" w:hanging="288"/>
              <w:rPr>
                <w:b/>
                <w:bCs/>
              </w:rPr>
            </w:pPr>
            <w:r w:rsidRPr="004758A5">
              <w:rPr>
                <w:b/>
                <w:bCs/>
              </w:rPr>
              <w:t>C</w:t>
            </w:r>
            <w:r w:rsidR="00FE05EB" w:rsidRPr="004758A5">
              <w:rPr>
                <w:b/>
                <w:bCs/>
              </w:rPr>
              <w:tab/>
            </w:r>
            <w:r w:rsidRPr="004758A5">
              <w:rPr>
                <w:b/>
                <w:bCs/>
              </w:rPr>
              <w:t>(East)</w:t>
            </w:r>
          </w:p>
          <w:p w14:paraId="342E1CED" w14:textId="4CB922B1" w:rsidR="00003C69" w:rsidRPr="004758A5" w:rsidRDefault="00003C69" w:rsidP="00C5517E">
            <w:pPr>
              <w:pStyle w:val="TableBullet"/>
              <w:spacing w:before="20" w:after="20"/>
              <w:ind w:left="576"/>
            </w:pPr>
            <w:r w:rsidRPr="004758A5">
              <w:t>Beatrice</w:t>
            </w:r>
          </w:p>
          <w:p w14:paraId="26AB373B" w14:textId="7574AD66" w:rsidR="00003C69" w:rsidRPr="004758A5" w:rsidRDefault="00003C69" w:rsidP="00C5517E">
            <w:pPr>
              <w:pStyle w:val="TableBullet"/>
              <w:spacing w:before="20" w:after="20"/>
              <w:ind w:left="576"/>
            </w:pPr>
            <w:r w:rsidRPr="004758A5">
              <w:t>Columbus</w:t>
            </w:r>
          </w:p>
          <w:p w14:paraId="74A18895" w14:textId="182D1EBD" w:rsidR="00003C69" w:rsidRPr="004758A5" w:rsidRDefault="00003C69" w:rsidP="00C5517E">
            <w:pPr>
              <w:pStyle w:val="TableBullet"/>
              <w:spacing w:before="20" w:after="20"/>
              <w:ind w:left="576"/>
            </w:pPr>
            <w:r w:rsidRPr="004758A5">
              <w:t>Fremont</w:t>
            </w:r>
          </w:p>
          <w:p w14:paraId="639A7375" w14:textId="1600F5BB" w:rsidR="00003C69" w:rsidRPr="004758A5" w:rsidRDefault="00003C69" w:rsidP="00C5517E">
            <w:pPr>
              <w:pStyle w:val="TableBullet"/>
              <w:spacing w:before="20" w:after="20"/>
              <w:ind w:left="576"/>
              <w:rPr>
                <w:rFonts w:cs="Arial"/>
                <w:b/>
              </w:rPr>
            </w:pPr>
            <w:r w:rsidRPr="004758A5">
              <w:t>Norfolk</w:t>
            </w:r>
          </w:p>
        </w:tc>
        <w:tc>
          <w:tcPr>
            <w:tcW w:w="2572" w:type="dxa"/>
            <w:tcBorders>
              <w:top w:val="single" w:sz="4" w:space="0" w:color="425563"/>
              <w:left w:val="single" w:sz="4" w:space="0" w:color="425563"/>
              <w:bottom w:val="single" w:sz="12" w:space="0" w:color="00677F" w:themeColor="accent3"/>
              <w:right w:val="single" w:sz="4" w:space="0" w:color="425563"/>
            </w:tcBorders>
            <w:vAlign w:val="center"/>
          </w:tcPr>
          <w:p w14:paraId="374C370E" w14:textId="77777777" w:rsidR="0053590F" w:rsidRPr="004758A5" w:rsidRDefault="0053590F" w:rsidP="00C5517E">
            <w:pPr>
              <w:pStyle w:val="TableText"/>
              <w:spacing w:before="20" w:after="20"/>
              <w:jc w:val="center"/>
            </w:pPr>
            <w:r w:rsidRPr="004758A5">
              <w:t>0.83”</w:t>
            </w:r>
          </w:p>
        </w:tc>
        <w:tc>
          <w:tcPr>
            <w:tcW w:w="2488" w:type="dxa"/>
            <w:tcBorders>
              <w:top w:val="single" w:sz="4" w:space="0" w:color="425563"/>
              <w:left w:val="single" w:sz="4" w:space="0" w:color="425563"/>
              <w:bottom w:val="single" w:sz="12" w:space="0" w:color="00677F" w:themeColor="accent3"/>
            </w:tcBorders>
            <w:vAlign w:val="center"/>
          </w:tcPr>
          <w:p w14:paraId="01E8EEFA" w14:textId="77777777" w:rsidR="0053590F" w:rsidRPr="004758A5" w:rsidRDefault="0053590F" w:rsidP="00C5517E">
            <w:pPr>
              <w:pStyle w:val="TableText"/>
              <w:spacing w:before="20" w:after="20"/>
              <w:jc w:val="center"/>
            </w:pPr>
            <w:r w:rsidRPr="004758A5">
              <w:t>0.62”</w:t>
            </w:r>
          </w:p>
        </w:tc>
      </w:tr>
    </w:tbl>
    <w:p w14:paraId="1AC4BAEB" w14:textId="7D5E9BED" w:rsidR="002D4DE5" w:rsidRPr="004758A5" w:rsidRDefault="0016572F" w:rsidP="00544BA2">
      <w:pPr>
        <w:pStyle w:val="Heading3"/>
        <w:spacing w:before="240"/>
      </w:pPr>
      <w:bookmarkStart w:id="13" w:name="_Toc46841988"/>
      <w:r w:rsidRPr="004758A5">
        <w:t>Minimum Design Criteria</w:t>
      </w:r>
      <w:bookmarkEnd w:id="13"/>
    </w:p>
    <w:p w14:paraId="0668EA5C" w14:textId="289263CA" w:rsidR="00E5771E" w:rsidRPr="004758A5" w:rsidRDefault="008467D7" w:rsidP="00FE05EB">
      <w:pPr>
        <w:pStyle w:val="BodyText"/>
      </w:pPr>
      <w:r w:rsidRPr="004758A5">
        <w:t>Post-construction stormwater BMPs</w:t>
      </w:r>
      <w:r w:rsidR="00E5771E" w:rsidRPr="004758A5">
        <w:t xml:space="preserve"> must be sized to handle the appropriate WQCV or </w:t>
      </w:r>
      <w:r w:rsidRPr="004758A5">
        <w:t>Qwq</w:t>
      </w:r>
      <w:r w:rsidR="00E5771E" w:rsidRPr="004758A5">
        <w:t xml:space="preserve"> to properly treat stormwater. </w:t>
      </w:r>
      <w:r w:rsidRPr="004758A5">
        <w:t>BMPs</w:t>
      </w:r>
      <w:r w:rsidR="00E5771E" w:rsidRPr="004758A5">
        <w:t xml:space="preserve"> include retention</w:t>
      </w:r>
      <w:r w:rsidR="00E5771E" w:rsidRPr="004758A5">
        <w:rPr>
          <w:rFonts w:ascii="Cambria Math" w:hAnsi="Cambria Math" w:cs="Cambria Math"/>
        </w:rPr>
        <w:t>‐</w:t>
      </w:r>
      <w:r w:rsidR="00E5771E" w:rsidRPr="004758A5">
        <w:t xml:space="preserve">based stormwater treatment </w:t>
      </w:r>
      <w:r w:rsidRPr="004758A5">
        <w:t xml:space="preserve">practices </w:t>
      </w:r>
      <w:r w:rsidR="00E5771E" w:rsidRPr="004758A5">
        <w:t xml:space="preserve">that typically require or encourage using infiltration, evapotranspiration, or harvest practices to control a specified volume of stormwater.  </w:t>
      </w:r>
    </w:p>
    <w:p w14:paraId="76A058D7" w14:textId="08A887ED" w:rsidR="00E5771E" w:rsidRPr="004758A5" w:rsidRDefault="0053590F" w:rsidP="007F2D09">
      <w:pPr>
        <w:pStyle w:val="Heading4"/>
      </w:pPr>
      <w:r w:rsidRPr="004758A5">
        <w:t>Water Quality</w:t>
      </w:r>
      <w:r w:rsidR="003E7A41" w:rsidRPr="004758A5">
        <w:t xml:space="preserve"> Control</w:t>
      </w:r>
      <w:r w:rsidRPr="004758A5">
        <w:t xml:space="preserve"> Volume</w:t>
      </w:r>
    </w:p>
    <w:p w14:paraId="12C36AB3" w14:textId="77777777" w:rsidR="00E6228D" w:rsidRPr="004758A5" w:rsidRDefault="0053590F" w:rsidP="00FE05EB">
      <w:pPr>
        <w:pStyle w:val="BodyText"/>
      </w:pPr>
      <w:r w:rsidRPr="004758A5">
        <w:t xml:space="preserve">Design criteria to meet minimum site performance standards for new and redevelopment are expressed as the runoff from a specified percentile rainfall event applied across the treatment drainage area. </w:t>
      </w:r>
      <w:r w:rsidR="00003C69" w:rsidRPr="004758A5">
        <w:t>The minimum</w:t>
      </w:r>
      <w:r w:rsidRPr="004758A5">
        <w:t xml:space="preserve"> WQCV for new and redevelopment can be calculated as follows: </w:t>
      </w:r>
    </w:p>
    <w:p w14:paraId="439B09A6" w14:textId="7B3F3109" w:rsidR="00F5568D" w:rsidRPr="004758A5" w:rsidRDefault="00E6228D" w:rsidP="00C5517E">
      <w:pPr>
        <w:spacing w:after="120"/>
        <w:rPr>
          <w:rFonts w:eastAsiaTheme="minorEastAsia" w:cs="Cambria"/>
          <w:bCs/>
        </w:rPr>
      </w:pPr>
      <m:oMathPara>
        <m:oMath>
          <m:r>
            <w:rPr>
              <w:rFonts w:ascii="Cambria Math" w:hAnsi="Cambria Math" w:cs="Cambria"/>
            </w:rPr>
            <m:t>WQCV=P×</m:t>
          </m:r>
          <m:d>
            <m:dPr>
              <m:ctrlPr>
                <w:rPr>
                  <w:rFonts w:ascii="Cambria Math" w:hAnsi="Cambria Math" w:cs="Cambria"/>
                  <w:bCs/>
                  <w:i/>
                </w:rPr>
              </m:ctrlPr>
            </m:dPr>
            <m:e>
              <m:r>
                <w:rPr>
                  <w:rFonts w:ascii="Cambria Math" w:hAnsi="Cambria Math" w:cs="Cambria"/>
                </w:rPr>
                <m:t>0.05+0.009×%Imp</m:t>
              </m:r>
            </m:e>
          </m:d>
          <m:r>
            <w:rPr>
              <w:rFonts w:ascii="Cambria Math" w:hAnsi="Cambria Math" w:cs="Cambria"/>
            </w:rPr>
            <m:t>×A×</m:t>
          </m:r>
          <m:f>
            <m:fPr>
              <m:type m:val="lin"/>
              <m:ctrlPr>
                <w:rPr>
                  <w:rFonts w:ascii="Cambria Math" w:hAnsi="Cambria Math" w:cs="Cambria"/>
                  <w:bCs/>
                  <w:i/>
                </w:rPr>
              </m:ctrlPr>
            </m:fPr>
            <m:num>
              <m:r>
                <w:rPr>
                  <w:rFonts w:ascii="Cambria Math" w:hAnsi="Cambria Math" w:cs="Cambria"/>
                </w:rPr>
                <m:t>1</m:t>
              </m:r>
            </m:num>
            <m:den>
              <m:r>
                <w:rPr>
                  <w:rFonts w:ascii="Cambria Math" w:hAnsi="Cambria Math" w:cs="Cambria"/>
                </w:rPr>
                <m:t>12</m:t>
              </m:r>
            </m:den>
          </m:f>
          <m:r>
            <w:rPr>
              <w:rFonts w:ascii="Cambria Math" w:hAnsi="Cambria Math" w:cs="Cambria"/>
            </w:rPr>
            <m:t>×43,560</m:t>
          </m:r>
        </m:oMath>
      </m:oMathPara>
    </w:p>
    <w:p w14:paraId="6BA7160D" w14:textId="2C987979" w:rsidR="00E6228D" w:rsidRPr="004758A5" w:rsidRDefault="0053590F" w:rsidP="00E6228D">
      <w:pPr>
        <w:spacing w:after="120"/>
        <w:rPr>
          <w:rFonts w:eastAsiaTheme="minorEastAsia"/>
        </w:rPr>
      </w:pPr>
      <w:r w:rsidRPr="004758A5">
        <w:t>Where</w:t>
      </w:r>
      <w:r w:rsidR="00E6228D" w:rsidRPr="004758A5">
        <w:t>:</w:t>
      </w:r>
      <w:r w:rsidR="00E6228D" w:rsidRPr="004758A5">
        <w:tab/>
      </w:r>
      <w:r w:rsidR="00E6228D" w:rsidRPr="004758A5">
        <w:tab/>
      </w:r>
      <w:r w:rsidR="00E6228D" w:rsidRPr="004758A5">
        <w:tab/>
      </w:r>
      <m:oMath>
        <m:r>
          <w:rPr>
            <w:rFonts w:ascii="Cambria Math" w:hAnsi="Cambria Math"/>
          </w:rPr>
          <m:t>WQCV=Water Quality Control Volume, cubic feet</m:t>
        </m:r>
      </m:oMath>
    </w:p>
    <w:p w14:paraId="0A27EF5D" w14:textId="23347FCA" w:rsidR="00E6228D" w:rsidRPr="004758A5" w:rsidRDefault="00E6228D" w:rsidP="00E6228D">
      <w:pPr>
        <w:spacing w:after="120"/>
        <w:rPr>
          <w:rFonts w:eastAsiaTheme="minorEastAsia"/>
        </w:rPr>
      </w:pPr>
      <m:oMathPara>
        <m:oMath>
          <m:r>
            <w:rPr>
              <w:rFonts w:ascii="Cambria Math" w:hAnsi="Cambria Math"/>
            </w:rPr>
            <m:t>P=Rainfall Depth, inches</m:t>
          </m:r>
        </m:oMath>
      </m:oMathPara>
    </w:p>
    <w:p w14:paraId="301734BC" w14:textId="420A2C89" w:rsidR="00E6228D" w:rsidRPr="004758A5" w:rsidRDefault="00E6228D" w:rsidP="00E6228D">
      <w:pPr>
        <w:spacing w:after="120"/>
        <w:rPr>
          <w:rFonts w:eastAsiaTheme="minorEastAsia"/>
        </w:rPr>
      </w:pPr>
      <m:oMathPara>
        <m:oMath>
          <m:r>
            <w:rPr>
              <w:rFonts w:ascii="Cambria Math" w:hAnsi="Cambria Math"/>
            </w:rPr>
            <m:t>A=Treatment Drainage Area, acres</m:t>
          </m:r>
        </m:oMath>
      </m:oMathPara>
    </w:p>
    <w:p w14:paraId="25E5E1B5" w14:textId="681C995B" w:rsidR="00273819" w:rsidRPr="004758A5" w:rsidRDefault="00E6228D" w:rsidP="00C5517E">
      <w:pPr>
        <w:spacing w:after="120"/>
      </w:pPr>
      <m:oMathPara>
        <m:oMath>
          <m:r>
            <w:rPr>
              <w:rFonts w:ascii="Cambria Math" w:hAnsi="Cambria Math"/>
            </w:rPr>
            <m:t xml:space="preserve">%Imp=Maximum Percent Impervious Expressed as a Whole Number </m:t>
          </m:r>
          <m:d>
            <m:dPr>
              <m:ctrlPr>
                <w:rPr>
                  <w:rFonts w:ascii="Cambria Math" w:hAnsi="Cambria Math"/>
                  <w:i/>
                </w:rPr>
              </m:ctrlPr>
            </m:dPr>
            <m:e>
              <m:r>
                <w:rPr>
                  <w:rFonts w:ascii="Cambria Math" w:hAnsi="Cambria Math"/>
                </w:rPr>
                <m:t>1</m:t>
              </m:r>
            </m:e>
          </m:d>
        </m:oMath>
      </m:oMathPara>
    </w:p>
    <w:p w14:paraId="7F544002" w14:textId="6AC28E13" w:rsidR="00E6228D" w:rsidRPr="004758A5" w:rsidRDefault="00E6228D" w:rsidP="00273819">
      <w:pPr>
        <w:spacing w:after="120"/>
        <w:ind w:left="990"/>
        <w:rPr>
          <w:rFonts w:eastAsiaTheme="minorEastAsia"/>
        </w:rPr>
      </w:pPr>
      <w:r w:rsidRPr="004758A5">
        <w:t>(1) The maximum percent imperviousness should be selected for the proposed zoning type if established by the City. If these values are not established by the zoning regulations, maximum percent imperviousness should be selected according to the percent impervious for urban districts and residential districts by average lot sizes provided in Chapter 2, Table</w:t>
      </w:r>
      <w:r w:rsidR="00C5517E" w:rsidRPr="004758A5">
        <w:t> </w:t>
      </w:r>
      <w:r w:rsidRPr="004758A5">
        <w:t>2.7 within the NRCS Curve Number Method procedure.</w:t>
      </w:r>
    </w:p>
    <w:p w14:paraId="5B79D7DA" w14:textId="00DAA2C4" w:rsidR="0053590F" w:rsidRPr="004758A5" w:rsidRDefault="0053590F" w:rsidP="00544BA2">
      <w:pPr>
        <w:pStyle w:val="BodyText"/>
        <w:spacing w:after="120"/>
      </w:pPr>
      <w:r w:rsidRPr="004758A5">
        <w:t>The following example illustrates use of the WQCV equation:</w:t>
      </w:r>
    </w:p>
    <w:p w14:paraId="6C5AA859" w14:textId="3E9536BE" w:rsidR="0053590F" w:rsidRPr="004758A5" w:rsidRDefault="0053590F" w:rsidP="00544BA2">
      <w:pPr>
        <w:pStyle w:val="BodyText"/>
        <w:ind w:left="432"/>
      </w:pPr>
      <w:r w:rsidRPr="004758A5">
        <w:t xml:space="preserve">Example 1) A </w:t>
      </w:r>
      <w:r w:rsidR="00003C69" w:rsidRPr="004758A5">
        <w:t>4.2-acre</w:t>
      </w:r>
      <w:r w:rsidRPr="004758A5">
        <w:t xml:space="preserve"> parcel was purchased to construct a storage facility. The parcel is one of </w:t>
      </w:r>
      <w:r w:rsidR="00C5517E" w:rsidRPr="004758A5">
        <w:t>four</w:t>
      </w:r>
      <w:r w:rsidRPr="004758A5">
        <w:t xml:space="preserve"> in a new development that was zoned limited industrial district (M-1). Light industrial zoning has a maximum impervious percentage of 90</w:t>
      </w:r>
      <w:r w:rsidR="00C5517E" w:rsidRPr="004758A5">
        <w:t> percent</w:t>
      </w:r>
      <w:r w:rsidRPr="004758A5">
        <w:t>. On that parcel, 2.4 acres will be disturbed to construct the facility. An additional 0.4 acres, also zoned M-1, drain directly onto the site from adjacent property. The WQCV for the site Is calculated as follows:</w:t>
      </w:r>
    </w:p>
    <w:p w14:paraId="61600926" w14:textId="3D768460" w:rsidR="00E6228D" w:rsidRPr="004758A5" w:rsidRDefault="00E6228D" w:rsidP="00544BA2">
      <w:pPr>
        <w:spacing w:after="240"/>
        <w:ind w:left="720"/>
      </w:pPr>
      <m:oMathPara>
        <m:oMathParaPr>
          <m:jc m:val="center"/>
        </m:oMathParaPr>
        <m:oMath>
          <m:r>
            <w:rPr>
              <w:rFonts w:ascii="Cambria Math" w:hAnsi="Cambria Math"/>
            </w:rPr>
            <m:t>WQCV=0.72×</m:t>
          </m:r>
          <m:d>
            <m:dPr>
              <m:ctrlPr>
                <w:rPr>
                  <w:rFonts w:ascii="Cambria Math" w:hAnsi="Cambria Math"/>
                  <w:i/>
                </w:rPr>
              </m:ctrlPr>
            </m:dPr>
            <m:e>
              <m:r>
                <w:rPr>
                  <w:rFonts w:ascii="Cambria Math" w:hAnsi="Cambria Math"/>
                </w:rPr>
                <m:t>0.05+0.009×90</m:t>
              </m:r>
            </m:e>
          </m:d>
          <m:r>
            <w:rPr>
              <w:rFonts w:ascii="Cambria Math" w:hAnsi="Cambria Math"/>
            </w:rPr>
            <m:t>×</m:t>
          </m:r>
          <m:d>
            <m:dPr>
              <m:ctrlPr>
                <w:rPr>
                  <w:rFonts w:ascii="Cambria Math" w:hAnsi="Cambria Math"/>
                  <w:i/>
                </w:rPr>
              </m:ctrlPr>
            </m:dPr>
            <m:e>
              <m:r>
                <w:rPr>
                  <w:rFonts w:ascii="Cambria Math" w:hAnsi="Cambria Math"/>
                </w:rPr>
                <m:t>2.4+0.4</m:t>
              </m:r>
            </m:e>
          </m:d>
          <m:r>
            <w:rPr>
              <w:rFonts w:ascii="Cambria Math" w:hAnsi="Cambria Math"/>
            </w:rPr>
            <m:t>×</m:t>
          </m:r>
          <m:f>
            <m:fPr>
              <m:type m:val="lin"/>
              <m:ctrlPr>
                <w:rPr>
                  <w:rFonts w:ascii="Cambria Math" w:hAnsi="Cambria Math" w:cs="Cambria"/>
                  <w:bCs/>
                  <w:i/>
                </w:rPr>
              </m:ctrlPr>
            </m:fPr>
            <m:num>
              <m:r>
                <w:rPr>
                  <w:rFonts w:ascii="Cambria Math" w:hAnsi="Cambria Math" w:cs="Cambria"/>
                </w:rPr>
                <m:t>1</m:t>
              </m:r>
            </m:num>
            <m:den>
              <m:r>
                <w:rPr>
                  <w:rFonts w:ascii="Cambria Math" w:hAnsi="Cambria Math" w:cs="Cambria"/>
                </w:rPr>
                <m:t>12</m:t>
              </m:r>
            </m:den>
          </m:f>
          <m:r>
            <w:rPr>
              <w:rFonts w:ascii="Cambria Math" w:hAnsi="Cambria Math" w:cs="Cambria"/>
            </w:rPr>
            <m:t>×43,560=6,294 cubic feet</m:t>
          </m:r>
        </m:oMath>
      </m:oMathPara>
    </w:p>
    <w:p w14:paraId="3561C2E1" w14:textId="585E8739" w:rsidR="0053590F" w:rsidRPr="004758A5" w:rsidRDefault="0053590F" w:rsidP="00FE05EB">
      <w:pPr>
        <w:pStyle w:val="BodyText"/>
      </w:pPr>
      <w:r w:rsidRPr="004758A5">
        <w:lastRenderedPageBreak/>
        <w:t xml:space="preserve">If there are multiple land uses within the treatment drainage area, the effective maximum percent imperviousness should be </w:t>
      </w:r>
      <w:r w:rsidR="003E7A41" w:rsidRPr="004758A5">
        <w:t>weighted</w:t>
      </w:r>
      <w:r w:rsidRPr="004758A5">
        <w:t xml:space="preserve"> based on the area of each zone as a percentage of the total area. </w:t>
      </w:r>
    </w:p>
    <w:p w14:paraId="027E0A3C" w14:textId="341C409F" w:rsidR="0053590F" w:rsidRPr="004758A5" w:rsidRDefault="0053590F" w:rsidP="00FE05EB">
      <w:pPr>
        <w:pStyle w:val="BodyText"/>
      </w:pPr>
      <w:r w:rsidRPr="004758A5">
        <w:t>Stormwater runoff from all disturbed areas shall be treated before leaving the site. The treatment drainage area shall include all disturbed areas on the site and upstream drainage or “run</w:t>
      </w:r>
      <w:r w:rsidR="00AB13C4" w:rsidRPr="004758A5">
        <w:t>-</w:t>
      </w:r>
      <w:r w:rsidRPr="004758A5">
        <w:t>on” unless the run</w:t>
      </w:r>
      <w:r w:rsidR="00003C69" w:rsidRPr="004758A5">
        <w:t>-</w:t>
      </w:r>
      <w:r w:rsidRPr="004758A5">
        <w:t>on is diverted or bypasses the disturbed site (i.e.</w:t>
      </w:r>
      <w:r w:rsidR="00C5517E" w:rsidRPr="004758A5">
        <w:t>,</w:t>
      </w:r>
      <w:r w:rsidRPr="004758A5">
        <w:t xml:space="preserve"> by pipe or swale) so that </w:t>
      </w:r>
      <w:r w:rsidR="008467D7" w:rsidRPr="004758A5">
        <w:t>BMPs</w:t>
      </w:r>
      <w:r w:rsidRPr="004758A5">
        <w:t xml:space="preserve"> are not overwhelmed. </w:t>
      </w:r>
      <w:r w:rsidR="00357466" w:rsidRPr="004758A5">
        <w:t xml:space="preserve">BMPs </w:t>
      </w:r>
      <w:r w:rsidRPr="004758A5">
        <w:t>may be distributed across the site to provide the required treatment.</w:t>
      </w:r>
    </w:p>
    <w:p w14:paraId="443422CE" w14:textId="250F7B3B" w:rsidR="0053590F" w:rsidRPr="004758A5" w:rsidRDefault="0053590F" w:rsidP="00FE05EB">
      <w:pPr>
        <w:pStyle w:val="BodyText"/>
      </w:pPr>
      <w:r w:rsidRPr="004758A5">
        <w:t xml:space="preserve">Additional storage in the </w:t>
      </w:r>
      <w:r w:rsidR="00357466" w:rsidRPr="004758A5">
        <w:t xml:space="preserve">BMP </w:t>
      </w:r>
      <w:r w:rsidRPr="004758A5">
        <w:t xml:space="preserve">may be allowed, depending on the type of </w:t>
      </w:r>
      <w:r w:rsidR="00357466" w:rsidRPr="004758A5">
        <w:t xml:space="preserve">BMP </w:t>
      </w:r>
      <w:r w:rsidRPr="004758A5">
        <w:t>selected, to address stormwater detention requirements to control runoff from larger storm events such as the 2-, 10-, or 100-year event</w:t>
      </w:r>
      <w:r w:rsidR="00357466" w:rsidRPr="004758A5">
        <w:t xml:space="preserve"> as described in Chapter 7</w:t>
      </w:r>
      <w:r w:rsidRPr="004758A5">
        <w:t xml:space="preserve">. </w:t>
      </w:r>
    </w:p>
    <w:p w14:paraId="713EA843" w14:textId="4860F1C7" w:rsidR="00D322B1" w:rsidRPr="004758A5" w:rsidRDefault="00D322B1" w:rsidP="00813D8D">
      <w:pPr>
        <w:pStyle w:val="Heading4"/>
      </w:pPr>
      <w:r w:rsidRPr="004758A5">
        <w:t>Storage Volume</w:t>
      </w:r>
    </w:p>
    <w:p w14:paraId="0BC9FE2A" w14:textId="1C074EB8" w:rsidR="00D322B1" w:rsidRPr="004758A5" w:rsidRDefault="00D322B1" w:rsidP="00FE05EB">
      <w:pPr>
        <w:pStyle w:val="BodyText"/>
      </w:pPr>
      <w:r w:rsidRPr="004758A5">
        <w:t xml:space="preserve">Storage volume of BMPs shall be adequate to hold the </w:t>
      </w:r>
      <w:r w:rsidR="00C5517E" w:rsidRPr="004758A5">
        <w:t>WQCV</w:t>
      </w:r>
      <w:r w:rsidRPr="004758A5">
        <w:t xml:space="preserve">. To maintain the design WQCV, proper implementation of site erosion and sediment measures is necessary to prevent clogging and failure of Structural BMPs. Phasing is also critical as Structural BMPs should typically be the last infrastructure constructed. </w:t>
      </w:r>
    </w:p>
    <w:p w14:paraId="0AD3636B" w14:textId="04443D9B" w:rsidR="0053590F" w:rsidRPr="004758A5" w:rsidRDefault="0053590F" w:rsidP="00813D8D">
      <w:pPr>
        <w:pStyle w:val="Heading4"/>
      </w:pPr>
      <w:r w:rsidRPr="004758A5">
        <w:t>Water Quality Volume Discharge Rate</w:t>
      </w:r>
    </w:p>
    <w:p w14:paraId="4D08C05C" w14:textId="5F63A23D" w:rsidR="0053590F" w:rsidRPr="004758A5" w:rsidRDefault="00357466" w:rsidP="00FE05EB">
      <w:pPr>
        <w:pStyle w:val="BodyText"/>
      </w:pPr>
      <w:r w:rsidRPr="004758A5">
        <w:t xml:space="preserve">BMPs </w:t>
      </w:r>
      <w:r w:rsidR="0053590F" w:rsidRPr="004758A5">
        <w:t>that are sized based on a flow rate (i.e.</w:t>
      </w:r>
      <w:r w:rsidR="00C5517E" w:rsidRPr="004758A5">
        <w:t>,</w:t>
      </w:r>
      <w:r w:rsidR="0053590F" w:rsidRPr="004758A5">
        <w:t xml:space="preserve"> swales, filter strips, manufactured systems, etc.) shall use the water quality volume discharge rate (Q</w:t>
      </w:r>
      <w:r w:rsidR="008467D7" w:rsidRPr="004758A5">
        <w:t>wq)</w:t>
      </w:r>
      <w:r w:rsidR="0053590F" w:rsidRPr="004758A5">
        <w:t>. The Q</w:t>
      </w:r>
      <w:r w:rsidR="008467D7" w:rsidRPr="004758A5">
        <w:t>wq</w:t>
      </w:r>
      <w:r w:rsidR="0053590F" w:rsidRPr="004758A5">
        <w:t xml:space="preserve"> is the peak runoff from the design water quality volume rainfall event. This peak runoff equivalent shall be calculated using the Natural Resources Conservation Service (NRCS) Curve Number (CN) procedure. The calculation is based on the 80th percentile rainfall event depth by region, a 24</w:t>
      </w:r>
      <w:r w:rsidR="00003C69" w:rsidRPr="004758A5">
        <w:t>-</w:t>
      </w:r>
      <w:r w:rsidR="0053590F" w:rsidRPr="004758A5">
        <w:t>hour duration storm event, and a time of concentration of 5 minutes. The area used is the impervious surface only within the treatment drainage area.</w:t>
      </w:r>
    </w:p>
    <w:p w14:paraId="63C8735E" w14:textId="3FC5AD3A" w:rsidR="00544BA2" w:rsidRPr="004758A5" w:rsidRDefault="00C5517E" w:rsidP="00FE05EB">
      <w:pPr>
        <w:pStyle w:val="BodyText"/>
      </w:pPr>
      <w:r w:rsidRPr="004758A5">
        <w:fldChar w:fldCharType="begin"/>
      </w:r>
      <w:r w:rsidRPr="004758A5">
        <w:instrText xml:space="preserve"> REF _Ref46409279 \h </w:instrText>
      </w:r>
      <w:r w:rsidRPr="004758A5">
        <w:fldChar w:fldCharType="separate"/>
      </w:r>
      <w:r w:rsidR="004758A5" w:rsidRPr="004758A5">
        <w:t xml:space="preserve">Table </w:t>
      </w:r>
      <w:r w:rsidR="004758A5">
        <w:rPr>
          <w:noProof/>
        </w:rPr>
        <w:t>9</w:t>
      </w:r>
      <w:r w:rsidR="004758A5" w:rsidRPr="004758A5">
        <w:noBreakHyphen/>
      </w:r>
      <w:r w:rsidR="004758A5">
        <w:rPr>
          <w:noProof/>
        </w:rPr>
        <w:t>2</w:t>
      </w:r>
      <w:r w:rsidRPr="004758A5">
        <w:fldChar w:fldCharType="end"/>
      </w:r>
      <w:r w:rsidR="0053590F" w:rsidRPr="004758A5">
        <w:t xml:space="preserve"> has been prepared to provide the Q</w:t>
      </w:r>
      <w:r w:rsidR="00357466" w:rsidRPr="004758A5">
        <w:t>wq</w:t>
      </w:r>
      <w:r w:rsidR="0053590F" w:rsidRPr="004758A5">
        <w:t xml:space="preserve"> in each Region for sites with up to 6 acres of impervious area. These values shall be used to size </w:t>
      </w:r>
      <w:r w:rsidR="00357466" w:rsidRPr="004758A5">
        <w:t xml:space="preserve">BMPs </w:t>
      </w:r>
      <w:r w:rsidR="0053590F" w:rsidRPr="004758A5">
        <w:t>for the area of impervious surface within a given treatment drainage area. For sites greater than 6 acres, the designer shall use the methods and criteria specified above in a suitable model to calculate the discharge rate.</w:t>
      </w:r>
    </w:p>
    <w:p w14:paraId="0A2F98AA" w14:textId="001A7465" w:rsidR="0053590F" w:rsidRPr="004758A5" w:rsidRDefault="00273819" w:rsidP="00273819">
      <w:pPr>
        <w:pStyle w:val="TableCaptionTitle"/>
        <w:ind w:left="1440" w:hanging="1440"/>
        <w:rPr>
          <w:rFonts w:asciiTheme="minorHAnsi" w:hAnsiTheme="minorHAnsi"/>
        </w:rPr>
      </w:pPr>
      <w:bookmarkStart w:id="14" w:name="_Ref46409279"/>
      <w:bookmarkStart w:id="15" w:name="_Toc46842093"/>
      <w:bookmarkStart w:id="16" w:name="_Toc46923981"/>
      <w:r w:rsidRPr="004758A5">
        <w:t xml:space="preserve">Table </w:t>
      </w:r>
      <w:fldSimple w:instr=" STYLEREF 1 \s ">
        <w:r w:rsidR="004758A5">
          <w:rPr>
            <w:noProof/>
          </w:rPr>
          <w:t>9</w:t>
        </w:r>
      </w:fldSimple>
      <w:r w:rsidRPr="004758A5">
        <w:noBreakHyphen/>
      </w:r>
      <w:fldSimple w:instr=" SEQ Table \* ARABIC \s 1 ">
        <w:r w:rsidR="004758A5">
          <w:rPr>
            <w:noProof/>
          </w:rPr>
          <w:t>2</w:t>
        </w:r>
      </w:fldSimple>
      <w:bookmarkEnd w:id="14"/>
      <w:r w:rsidRPr="004758A5">
        <w:t>.</w:t>
      </w:r>
      <w:r w:rsidRPr="004758A5">
        <w:tab/>
      </w:r>
      <w:r w:rsidR="0053590F" w:rsidRPr="004758A5">
        <w:t>Water Quality Discharge Rate (</w:t>
      </w:r>
      <w:r w:rsidR="003D3E46" w:rsidRPr="004758A5">
        <w:t>Qwq</w:t>
      </w:r>
      <w:r w:rsidR="0053590F" w:rsidRPr="004758A5">
        <w:t xml:space="preserve">) for Selected Impervious Areas </w:t>
      </w:r>
      <w:r w:rsidR="00003C69" w:rsidRPr="004758A5">
        <w:t>by</w:t>
      </w:r>
      <w:r w:rsidR="0053590F" w:rsidRPr="004758A5">
        <w:t xml:space="preserve"> Region</w:t>
      </w:r>
      <w:bookmarkEnd w:id="15"/>
      <w:bookmarkEnd w:id="16"/>
    </w:p>
    <w:tbl>
      <w:tblPr>
        <w:tblW w:w="9090" w:type="dxa"/>
        <w:tblInd w:w="260" w:type="dxa"/>
        <w:tblLayout w:type="fixed"/>
        <w:tblCellMar>
          <w:left w:w="0" w:type="dxa"/>
          <w:right w:w="0" w:type="dxa"/>
        </w:tblCellMar>
        <w:tblLook w:val="04A0" w:firstRow="1" w:lastRow="0" w:firstColumn="1" w:lastColumn="0" w:noHBand="0" w:noVBand="1"/>
      </w:tblPr>
      <w:tblGrid>
        <w:gridCol w:w="1440"/>
        <w:gridCol w:w="1620"/>
        <w:gridCol w:w="1440"/>
        <w:gridCol w:w="1620"/>
        <w:gridCol w:w="1383"/>
        <w:gridCol w:w="1587"/>
      </w:tblGrid>
      <w:tr w:rsidR="003D3E46" w:rsidRPr="004758A5" w14:paraId="20FFF776" w14:textId="77777777" w:rsidTr="00544BA2">
        <w:trPr>
          <w:tblHeader/>
        </w:trPr>
        <w:tc>
          <w:tcPr>
            <w:tcW w:w="1440" w:type="dxa"/>
            <w:tcBorders>
              <w:bottom w:val="single" w:sz="4" w:space="0" w:color="425563" w:themeColor="accent1"/>
              <w:right w:val="single" w:sz="4" w:space="0" w:color="425563" w:themeColor="accent1"/>
            </w:tcBorders>
            <w:shd w:val="clear" w:color="auto" w:fill="00677F"/>
            <w:tcMar>
              <w:top w:w="0" w:type="dxa"/>
              <w:left w:w="108" w:type="dxa"/>
              <w:bottom w:w="0" w:type="dxa"/>
              <w:right w:w="108" w:type="dxa"/>
            </w:tcMar>
            <w:vAlign w:val="center"/>
            <w:hideMark/>
          </w:tcPr>
          <w:p w14:paraId="5F006C46" w14:textId="081781E4" w:rsidR="0053590F" w:rsidRPr="004758A5" w:rsidRDefault="0053590F" w:rsidP="00C5517E">
            <w:pPr>
              <w:pStyle w:val="TableHeading"/>
              <w:spacing w:before="20" w:after="20"/>
              <w:rPr>
                <w:rFonts w:ascii="Calibri" w:hAnsi="Calibri"/>
                <w:sz w:val="20"/>
                <w:szCs w:val="20"/>
              </w:rPr>
            </w:pPr>
            <w:r w:rsidRPr="004758A5">
              <w:t>Impervious Area</w:t>
            </w:r>
            <w:r w:rsidR="003D3E46" w:rsidRPr="004758A5">
              <w:t xml:space="preserve"> </w:t>
            </w:r>
            <w:r w:rsidRPr="004758A5">
              <w:t>(Acres)</w:t>
            </w:r>
          </w:p>
        </w:tc>
        <w:tc>
          <w:tcPr>
            <w:tcW w:w="1620" w:type="dxa"/>
            <w:tcBorders>
              <w:left w:val="single" w:sz="4" w:space="0" w:color="425563" w:themeColor="accent1"/>
              <w:bottom w:val="single" w:sz="4" w:space="0" w:color="425563" w:themeColor="accent1"/>
              <w:right w:val="single" w:sz="4" w:space="0" w:color="425563" w:themeColor="accent1"/>
            </w:tcBorders>
            <w:shd w:val="clear" w:color="auto" w:fill="00677F"/>
            <w:tcMar>
              <w:top w:w="0" w:type="dxa"/>
              <w:left w:w="108" w:type="dxa"/>
              <w:bottom w:w="0" w:type="dxa"/>
              <w:right w:w="108" w:type="dxa"/>
            </w:tcMar>
            <w:vAlign w:val="center"/>
            <w:hideMark/>
          </w:tcPr>
          <w:p w14:paraId="76BF88D4" w14:textId="2F42DA96" w:rsidR="0053590F" w:rsidRPr="004758A5" w:rsidRDefault="0053590F" w:rsidP="00C5517E">
            <w:pPr>
              <w:pStyle w:val="TableHeading"/>
              <w:spacing w:before="20" w:after="20"/>
              <w:rPr>
                <w:rFonts w:ascii="Calibri" w:hAnsi="Calibri"/>
                <w:sz w:val="14"/>
                <w:szCs w:val="14"/>
              </w:rPr>
            </w:pPr>
            <w:r w:rsidRPr="004758A5">
              <w:t>Q</w:t>
            </w:r>
            <w:r w:rsidR="003D3E46" w:rsidRPr="004758A5">
              <w:t>wq</w:t>
            </w:r>
            <w:r w:rsidR="00C5517E" w:rsidRPr="004758A5">
              <w:br/>
            </w:r>
            <w:r w:rsidRPr="004758A5">
              <w:t>(cfs)</w:t>
            </w:r>
            <w:r w:rsidR="00C5517E" w:rsidRPr="004758A5">
              <w:br/>
            </w:r>
            <w:r w:rsidRPr="004758A5">
              <w:rPr>
                <w:bCs/>
                <w:sz w:val="14"/>
                <w:szCs w:val="14"/>
              </w:rPr>
              <w:t>West | Central | East</w:t>
            </w:r>
          </w:p>
        </w:tc>
        <w:tc>
          <w:tcPr>
            <w:tcW w:w="1440" w:type="dxa"/>
            <w:tcBorders>
              <w:left w:val="single" w:sz="4" w:space="0" w:color="425563" w:themeColor="accent1"/>
              <w:bottom w:val="single" w:sz="4" w:space="0" w:color="425563" w:themeColor="accent1"/>
              <w:right w:val="single" w:sz="4" w:space="0" w:color="425563" w:themeColor="accent1"/>
            </w:tcBorders>
            <w:shd w:val="clear" w:color="auto" w:fill="00677F"/>
            <w:tcMar>
              <w:top w:w="0" w:type="dxa"/>
              <w:left w:w="108" w:type="dxa"/>
              <w:bottom w:w="0" w:type="dxa"/>
              <w:right w:w="108" w:type="dxa"/>
            </w:tcMar>
            <w:vAlign w:val="center"/>
            <w:hideMark/>
          </w:tcPr>
          <w:p w14:paraId="2CF12D5F" w14:textId="4B1D75B8" w:rsidR="0053590F" w:rsidRPr="004758A5" w:rsidRDefault="0053590F" w:rsidP="00C5517E">
            <w:pPr>
              <w:pStyle w:val="TableHeading"/>
              <w:spacing w:before="20" w:after="20"/>
              <w:rPr>
                <w:rFonts w:ascii="Calibri" w:hAnsi="Calibri"/>
                <w:sz w:val="20"/>
                <w:szCs w:val="20"/>
              </w:rPr>
            </w:pPr>
            <w:r w:rsidRPr="004758A5">
              <w:t>Impervious</w:t>
            </w:r>
            <w:r w:rsidRPr="004758A5">
              <w:rPr>
                <w:sz w:val="20"/>
                <w:szCs w:val="20"/>
              </w:rPr>
              <w:t xml:space="preserve"> </w:t>
            </w:r>
            <w:r w:rsidRPr="004758A5">
              <w:t>Area</w:t>
            </w:r>
            <w:r w:rsidR="003D3E46" w:rsidRPr="004758A5">
              <w:t xml:space="preserve"> </w:t>
            </w:r>
            <w:r w:rsidRPr="004758A5">
              <w:t>(Acres)</w:t>
            </w:r>
          </w:p>
        </w:tc>
        <w:tc>
          <w:tcPr>
            <w:tcW w:w="1620" w:type="dxa"/>
            <w:tcBorders>
              <w:left w:val="single" w:sz="4" w:space="0" w:color="425563" w:themeColor="accent1"/>
              <w:bottom w:val="single" w:sz="4" w:space="0" w:color="425563" w:themeColor="accent1"/>
              <w:right w:val="single" w:sz="4" w:space="0" w:color="425563" w:themeColor="accent1"/>
            </w:tcBorders>
            <w:shd w:val="clear" w:color="auto" w:fill="00677F"/>
            <w:tcMar>
              <w:top w:w="0" w:type="dxa"/>
              <w:left w:w="108" w:type="dxa"/>
              <w:bottom w:w="0" w:type="dxa"/>
              <w:right w:w="108" w:type="dxa"/>
            </w:tcMar>
            <w:vAlign w:val="center"/>
            <w:hideMark/>
          </w:tcPr>
          <w:p w14:paraId="7C3DE7FD" w14:textId="47B81E2C" w:rsidR="0053590F" w:rsidRPr="004758A5" w:rsidRDefault="0053590F" w:rsidP="00C5517E">
            <w:pPr>
              <w:pStyle w:val="TableHeading"/>
              <w:spacing w:before="20" w:after="20"/>
              <w:rPr>
                <w:rFonts w:ascii="Calibri" w:hAnsi="Calibri"/>
                <w:sz w:val="20"/>
                <w:szCs w:val="20"/>
              </w:rPr>
            </w:pPr>
            <w:r w:rsidRPr="004758A5">
              <w:t>Q</w:t>
            </w:r>
            <w:r w:rsidR="003D3E46" w:rsidRPr="004758A5">
              <w:t>wq</w:t>
            </w:r>
            <w:r w:rsidR="00C5517E" w:rsidRPr="004758A5">
              <w:br/>
            </w:r>
            <w:r w:rsidRPr="004758A5">
              <w:t xml:space="preserve">(cfs)  </w:t>
            </w:r>
            <w:r w:rsidR="00C5517E" w:rsidRPr="004758A5">
              <w:br/>
            </w:r>
            <w:r w:rsidR="00A54E51" w:rsidRPr="004758A5">
              <w:rPr>
                <w:bCs/>
                <w:sz w:val="14"/>
                <w:szCs w:val="14"/>
              </w:rPr>
              <w:t>West | Central | East</w:t>
            </w:r>
          </w:p>
        </w:tc>
        <w:tc>
          <w:tcPr>
            <w:tcW w:w="1383" w:type="dxa"/>
            <w:tcBorders>
              <w:left w:val="single" w:sz="4" w:space="0" w:color="425563" w:themeColor="accent1"/>
              <w:bottom w:val="single" w:sz="4" w:space="0" w:color="425563" w:themeColor="accent1"/>
              <w:right w:val="single" w:sz="4" w:space="0" w:color="425563" w:themeColor="accent1"/>
            </w:tcBorders>
            <w:shd w:val="clear" w:color="auto" w:fill="00677F"/>
            <w:tcMar>
              <w:top w:w="0" w:type="dxa"/>
              <w:left w:w="108" w:type="dxa"/>
              <w:bottom w:w="0" w:type="dxa"/>
              <w:right w:w="108" w:type="dxa"/>
            </w:tcMar>
            <w:vAlign w:val="center"/>
            <w:hideMark/>
          </w:tcPr>
          <w:p w14:paraId="6DF9C05B" w14:textId="46668574" w:rsidR="0053590F" w:rsidRPr="004758A5" w:rsidRDefault="0053590F" w:rsidP="00C5517E">
            <w:pPr>
              <w:pStyle w:val="TableHeading"/>
              <w:spacing w:before="20" w:after="20"/>
              <w:rPr>
                <w:rFonts w:ascii="Calibri" w:hAnsi="Calibri"/>
                <w:sz w:val="20"/>
                <w:szCs w:val="20"/>
              </w:rPr>
            </w:pPr>
            <w:r w:rsidRPr="004758A5">
              <w:t>Impervious Area</w:t>
            </w:r>
            <w:r w:rsidR="003D3E46" w:rsidRPr="004758A5">
              <w:t xml:space="preserve"> </w:t>
            </w:r>
            <w:r w:rsidRPr="004758A5">
              <w:t>(Acres)</w:t>
            </w:r>
          </w:p>
        </w:tc>
        <w:tc>
          <w:tcPr>
            <w:tcW w:w="1587" w:type="dxa"/>
            <w:tcBorders>
              <w:left w:val="single" w:sz="4" w:space="0" w:color="425563" w:themeColor="accent1"/>
              <w:bottom w:val="single" w:sz="4" w:space="0" w:color="425563" w:themeColor="accent1"/>
            </w:tcBorders>
            <w:shd w:val="clear" w:color="auto" w:fill="00677F"/>
            <w:tcMar>
              <w:top w:w="0" w:type="dxa"/>
              <w:left w:w="108" w:type="dxa"/>
              <w:bottom w:w="0" w:type="dxa"/>
              <w:right w:w="108" w:type="dxa"/>
            </w:tcMar>
            <w:vAlign w:val="center"/>
            <w:hideMark/>
          </w:tcPr>
          <w:p w14:paraId="7870F8A6" w14:textId="329B2363" w:rsidR="0053590F" w:rsidRPr="004758A5" w:rsidRDefault="0053590F" w:rsidP="00C5517E">
            <w:pPr>
              <w:pStyle w:val="TableHeading"/>
              <w:spacing w:before="20" w:after="20"/>
              <w:rPr>
                <w:rFonts w:ascii="Calibri" w:hAnsi="Calibri"/>
                <w:sz w:val="20"/>
                <w:szCs w:val="20"/>
              </w:rPr>
            </w:pPr>
            <w:r w:rsidRPr="004758A5">
              <w:t>Q</w:t>
            </w:r>
            <w:r w:rsidR="003D3E46" w:rsidRPr="004758A5">
              <w:t>wq</w:t>
            </w:r>
            <w:r w:rsidR="00C5517E" w:rsidRPr="004758A5">
              <w:br/>
            </w:r>
            <w:r w:rsidRPr="004758A5">
              <w:t>(cfs)</w:t>
            </w:r>
            <w:r w:rsidR="00C5517E" w:rsidRPr="004758A5">
              <w:br/>
            </w:r>
            <w:r w:rsidR="00A54E51" w:rsidRPr="004758A5">
              <w:rPr>
                <w:sz w:val="14"/>
                <w:szCs w:val="14"/>
              </w:rPr>
              <w:t>West | Central | East</w:t>
            </w:r>
          </w:p>
        </w:tc>
      </w:tr>
      <w:tr w:rsidR="003D3E46" w:rsidRPr="004758A5" w14:paraId="7FD8F94C" w14:textId="77777777" w:rsidTr="003D3E46">
        <w:trPr>
          <w:trHeight w:hRule="exact" w:val="288"/>
        </w:trPr>
        <w:tc>
          <w:tcPr>
            <w:tcW w:w="1440" w:type="dxa"/>
            <w:tcBorders>
              <w:top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16C526C9" w14:textId="77777777" w:rsidR="0053590F" w:rsidRPr="004758A5" w:rsidRDefault="0053590F" w:rsidP="00C5517E">
            <w:pPr>
              <w:pStyle w:val="TableText"/>
              <w:spacing w:before="20" w:after="20"/>
              <w:jc w:val="center"/>
              <w:rPr>
                <w:rFonts w:ascii="Calibri" w:hAnsi="Calibri"/>
              </w:rPr>
            </w:pPr>
            <w:r w:rsidRPr="004758A5">
              <w:t>0.2</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246DBA59"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0.1  |    0.2    |   0.2</w:t>
            </w:r>
          </w:p>
        </w:tc>
        <w:tc>
          <w:tcPr>
            <w:tcW w:w="144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2092AD32"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2.2</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360B07DE" w14:textId="77777777" w:rsidR="0053590F" w:rsidRPr="004758A5" w:rsidRDefault="0053590F" w:rsidP="00C5517E">
            <w:pPr>
              <w:pStyle w:val="TableText"/>
              <w:spacing w:before="20" w:after="20"/>
              <w:jc w:val="center"/>
              <w:rPr>
                <w:sz w:val="18"/>
                <w:szCs w:val="18"/>
              </w:rPr>
            </w:pPr>
            <w:r w:rsidRPr="004758A5">
              <w:rPr>
                <w:sz w:val="18"/>
                <w:szCs w:val="18"/>
              </w:rPr>
              <w:t>1.5  |    1.9    |  2.2</w:t>
            </w:r>
          </w:p>
        </w:tc>
        <w:tc>
          <w:tcPr>
            <w:tcW w:w="1383"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6039AC09"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4.2</w:t>
            </w:r>
          </w:p>
        </w:tc>
        <w:tc>
          <w:tcPr>
            <w:tcW w:w="1587" w:type="dxa"/>
            <w:tcBorders>
              <w:top w:val="single" w:sz="4" w:space="0" w:color="425563" w:themeColor="accent1"/>
              <w:left w:val="single" w:sz="4" w:space="0" w:color="425563" w:themeColor="accent1"/>
              <w:bottom w:val="single" w:sz="4" w:space="0" w:color="425563" w:themeColor="accent1"/>
            </w:tcBorders>
            <w:shd w:val="clear" w:color="auto" w:fill="ECEADC"/>
            <w:tcMar>
              <w:top w:w="0" w:type="dxa"/>
              <w:left w:w="108" w:type="dxa"/>
              <w:bottom w:w="0" w:type="dxa"/>
              <w:right w:w="108" w:type="dxa"/>
            </w:tcMar>
            <w:vAlign w:val="center"/>
            <w:hideMark/>
          </w:tcPr>
          <w:p w14:paraId="1F89ADB0"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2.9  |    3.6    |  4.2</w:t>
            </w:r>
          </w:p>
        </w:tc>
      </w:tr>
      <w:tr w:rsidR="003D3E46" w:rsidRPr="004758A5" w14:paraId="7604FCAF" w14:textId="77777777" w:rsidTr="003D3E46">
        <w:trPr>
          <w:trHeight w:hRule="exact" w:val="288"/>
        </w:trPr>
        <w:tc>
          <w:tcPr>
            <w:tcW w:w="1440" w:type="dxa"/>
            <w:tcBorders>
              <w:top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41E0D9F0" w14:textId="77777777" w:rsidR="0053590F" w:rsidRPr="004758A5" w:rsidRDefault="0053590F" w:rsidP="00C5517E">
            <w:pPr>
              <w:pStyle w:val="TableText"/>
              <w:spacing w:before="20" w:after="20"/>
              <w:jc w:val="center"/>
              <w:rPr>
                <w:rFonts w:ascii="Calibri" w:hAnsi="Calibri"/>
              </w:rPr>
            </w:pPr>
            <w:r w:rsidRPr="004758A5">
              <w:t>0.4</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6A159371"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0.3  |    0.3    |  0.4</w:t>
            </w:r>
          </w:p>
        </w:tc>
        <w:tc>
          <w:tcPr>
            <w:tcW w:w="144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58C64C49"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2.4</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4A697E7C" w14:textId="77777777" w:rsidR="0053590F" w:rsidRPr="004758A5" w:rsidRDefault="0053590F" w:rsidP="00C5517E">
            <w:pPr>
              <w:pStyle w:val="TableText"/>
              <w:spacing w:before="20" w:after="20"/>
              <w:jc w:val="center"/>
              <w:rPr>
                <w:sz w:val="18"/>
                <w:szCs w:val="18"/>
              </w:rPr>
            </w:pPr>
            <w:r w:rsidRPr="004758A5">
              <w:rPr>
                <w:sz w:val="18"/>
                <w:szCs w:val="18"/>
              </w:rPr>
              <w:t>1.6  |    2.0    |  2.4</w:t>
            </w:r>
          </w:p>
        </w:tc>
        <w:tc>
          <w:tcPr>
            <w:tcW w:w="1383"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4C263F73"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4.4</w:t>
            </w:r>
          </w:p>
        </w:tc>
        <w:tc>
          <w:tcPr>
            <w:tcW w:w="1587" w:type="dxa"/>
            <w:tcBorders>
              <w:top w:val="single" w:sz="4" w:space="0" w:color="425563" w:themeColor="accent1"/>
              <w:left w:val="single" w:sz="4" w:space="0" w:color="425563" w:themeColor="accent1"/>
              <w:bottom w:val="single" w:sz="4" w:space="0" w:color="425563" w:themeColor="accent1"/>
            </w:tcBorders>
            <w:shd w:val="clear" w:color="auto" w:fill="ECEADC"/>
            <w:tcMar>
              <w:top w:w="0" w:type="dxa"/>
              <w:left w:w="108" w:type="dxa"/>
              <w:bottom w:w="0" w:type="dxa"/>
              <w:right w:w="108" w:type="dxa"/>
            </w:tcMar>
            <w:vAlign w:val="center"/>
            <w:hideMark/>
          </w:tcPr>
          <w:p w14:paraId="725D07E6"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3.0  |    3.7    |  4.4</w:t>
            </w:r>
          </w:p>
        </w:tc>
      </w:tr>
      <w:tr w:rsidR="003D3E46" w:rsidRPr="004758A5" w14:paraId="05CD51C5" w14:textId="77777777" w:rsidTr="003D3E46">
        <w:trPr>
          <w:trHeight w:hRule="exact" w:val="288"/>
        </w:trPr>
        <w:tc>
          <w:tcPr>
            <w:tcW w:w="1440" w:type="dxa"/>
            <w:tcBorders>
              <w:top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385EC8C6" w14:textId="77777777" w:rsidR="0053590F" w:rsidRPr="004758A5" w:rsidRDefault="0053590F" w:rsidP="00C5517E">
            <w:pPr>
              <w:pStyle w:val="TableText"/>
              <w:spacing w:before="20" w:after="20"/>
              <w:jc w:val="center"/>
              <w:rPr>
                <w:rFonts w:ascii="Calibri" w:hAnsi="Calibri"/>
              </w:rPr>
            </w:pPr>
            <w:r w:rsidRPr="004758A5">
              <w:t>0.6</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27492FDE"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0.4  |    0.5    |  0.6</w:t>
            </w:r>
          </w:p>
        </w:tc>
        <w:tc>
          <w:tcPr>
            <w:tcW w:w="144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3DBE2C9E"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2.6</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43C2827D" w14:textId="77777777" w:rsidR="0053590F" w:rsidRPr="004758A5" w:rsidRDefault="0053590F" w:rsidP="00C5517E">
            <w:pPr>
              <w:pStyle w:val="TableText"/>
              <w:spacing w:before="20" w:after="20"/>
              <w:jc w:val="center"/>
              <w:rPr>
                <w:sz w:val="18"/>
                <w:szCs w:val="18"/>
              </w:rPr>
            </w:pPr>
            <w:r w:rsidRPr="004758A5">
              <w:rPr>
                <w:sz w:val="18"/>
                <w:szCs w:val="18"/>
              </w:rPr>
              <w:t>1.8  |    2.2    |  2.6</w:t>
            </w:r>
          </w:p>
        </w:tc>
        <w:tc>
          <w:tcPr>
            <w:tcW w:w="1383"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1814CE21"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4.6</w:t>
            </w:r>
          </w:p>
        </w:tc>
        <w:tc>
          <w:tcPr>
            <w:tcW w:w="1587" w:type="dxa"/>
            <w:tcBorders>
              <w:top w:val="single" w:sz="4" w:space="0" w:color="425563" w:themeColor="accent1"/>
              <w:left w:val="single" w:sz="4" w:space="0" w:color="425563" w:themeColor="accent1"/>
              <w:bottom w:val="single" w:sz="4" w:space="0" w:color="425563" w:themeColor="accent1"/>
            </w:tcBorders>
            <w:shd w:val="clear" w:color="auto" w:fill="ECEADC"/>
            <w:tcMar>
              <w:top w:w="0" w:type="dxa"/>
              <w:left w:w="108" w:type="dxa"/>
              <w:bottom w:w="0" w:type="dxa"/>
              <w:right w:w="108" w:type="dxa"/>
            </w:tcMar>
            <w:vAlign w:val="center"/>
            <w:hideMark/>
          </w:tcPr>
          <w:p w14:paraId="71347DDC"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3.2  |    3.9    |  4.6</w:t>
            </w:r>
          </w:p>
        </w:tc>
      </w:tr>
      <w:tr w:rsidR="003D3E46" w:rsidRPr="004758A5" w14:paraId="3F60EBF9" w14:textId="77777777" w:rsidTr="003D3E46">
        <w:trPr>
          <w:trHeight w:hRule="exact" w:val="288"/>
        </w:trPr>
        <w:tc>
          <w:tcPr>
            <w:tcW w:w="1440" w:type="dxa"/>
            <w:tcBorders>
              <w:top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30C694F6" w14:textId="77777777" w:rsidR="0053590F" w:rsidRPr="004758A5" w:rsidRDefault="0053590F" w:rsidP="00C5517E">
            <w:pPr>
              <w:pStyle w:val="TableText"/>
              <w:spacing w:before="20" w:after="20"/>
              <w:jc w:val="center"/>
              <w:rPr>
                <w:rFonts w:ascii="Calibri" w:hAnsi="Calibri"/>
              </w:rPr>
            </w:pPr>
            <w:r w:rsidRPr="004758A5">
              <w:t>0.8</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4D4D6327"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0.5  |    0.7    |  0.8</w:t>
            </w:r>
          </w:p>
        </w:tc>
        <w:tc>
          <w:tcPr>
            <w:tcW w:w="144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2CE1BB71"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2.8</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6AE0A395" w14:textId="77777777" w:rsidR="0053590F" w:rsidRPr="004758A5" w:rsidRDefault="0053590F" w:rsidP="00C5517E">
            <w:pPr>
              <w:pStyle w:val="TableText"/>
              <w:spacing w:before="20" w:after="20"/>
              <w:jc w:val="center"/>
              <w:rPr>
                <w:sz w:val="18"/>
                <w:szCs w:val="18"/>
              </w:rPr>
            </w:pPr>
            <w:r w:rsidRPr="004758A5">
              <w:rPr>
                <w:sz w:val="18"/>
                <w:szCs w:val="18"/>
              </w:rPr>
              <w:t>1.9  |    2.4    |  2.8</w:t>
            </w:r>
          </w:p>
        </w:tc>
        <w:tc>
          <w:tcPr>
            <w:tcW w:w="1383"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46F07A8C"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4.8</w:t>
            </w:r>
          </w:p>
        </w:tc>
        <w:tc>
          <w:tcPr>
            <w:tcW w:w="1587" w:type="dxa"/>
            <w:tcBorders>
              <w:top w:val="single" w:sz="4" w:space="0" w:color="425563" w:themeColor="accent1"/>
              <w:left w:val="single" w:sz="4" w:space="0" w:color="425563" w:themeColor="accent1"/>
              <w:bottom w:val="single" w:sz="4" w:space="0" w:color="425563" w:themeColor="accent1"/>
            </w:tcBorders>
            <w:shd w:val="clear" w:color="auto" w:fill="ECEADC"/>
            <w:tcMar>
              <w:top w:w="0" w:type="dxa"/>
              <w:left w:w="108" w:type="dxa"/>
              <w:bottom w:w="0" w:type="dxa"/>
              <w:right w:w="108" w:type="dxa"/>
            </w:tcMar>
            <w:vAlign w:val="center"/>
            <w:hideMark/>
          </w:tcPr>
          <w:p w14:paraId="129A2A99"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3.3  |    4.1    |  4.8</w:t>
            </w:r>
          </w:p>
        </w:tc>
      </w:tr>
      <w:tr w:rsidR="003D3E46" w:rsidRPr="004758A5" w14:paraId="45BDD07C" w14:textId="77777777" w:rsidTr="003D3E46">
        <w:trPr>
          <w:trHeight w:hRule="exact" w:val="288"/>
        </w:trPr>
        <w:tc>
          <w:tcPr>
            <w:tcW w:w="1440" w:type="dxa"/>
            <w:tcBorders>
              <w:top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044998BC" w14:textId="77777777" w:rsidR="0053590F" w:rsidRPr="004758A5" w:rsidRDefault="0053590F" w:rsidP="00C5517E">
            <w:pPr>
              <w:pStyle w:val="TableText"/>
              <w:spacing w:before="20" w:after="20"/>
              <w:jc w:val="center"/>
              <w:rPr>
                <w:rFonts w:ascii="Calibri" w:hAnsi="Calibri"/>
              </w:rPr>
            </w:pPr>
            <w:r w:rsidRPr="004758A5">
              <w:t>1.0</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16751FA5"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0.7  |    0.8    |  1.0</w:t>
            </w:r>
          </w:p>
        </w:tc>
        <w:tc>
          <w:tcPr>
            <w:tcW w:w="144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264BAB06"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3.0</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3FECD3DB" w14:textId="77777777" w:rsidR="0053590F" w:rsidRPr="004758A5" w:rsidRDefault="0053590F" w:rsidP="00C5517E">
            <w:pPr>
              <w:pStyle w:val="TableText"/>
              <w:spacing w:before="20" w:after="20"/>
              <w:jc w:val="center"/>
              <w:rPr>
                <w:sz w:val="18"/>
                <w:szCs w:val="18"/>
              </w:rPr>
            </w:pPr>
            <w:r w:rsidRPr="004758A5">
              <w:rPr>
                <w:sz w:val="18"/>
                <w:szCs w:val="18"/>
              </w:rPr>
              <w:t>2.1  |    2.5    |  3.0</w:t>
            </w:r>
          </w:p>
        </w:tc>
        <w:tc>
          <w:tcPr>
            <w:tcW w:w="1383"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7B8847C1"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5.0</w:t>
            </w:r>
          </w:p>
        </w:tc>
        <w:tc>
          <w:tcPr>
            <w:tcW w:w="1587" w:type="dxa"/>
            <w:tcBorders>
              <w:top w:val="single" w:sz="4" w:space="0" w:color="425563" w:themeColor="accent1"/>
              <w:left w:val="single" w:sz="4" w:space="0" w:color="425563" w:themeColor="accent1"/>
              <w:bottom w:val="single" w:sz="4" w:space="0" w:color="425563" w:themeColor="accent1"/>
            </w:tcBorders>
            <w:shd w:val="clear" w:color="auto" w:fill="ECEADC"/>
            <w:tcMar>
              <w:top w:w="0" w:type="dxa"/>
              <w:left w:w="108" w:type="dxa"/>
              <w:bottom w:w="0" w:type="dxa"/>
              <w:right w:w="108" w:type="dxa"/>
            </w:tcMar>
            <w:vAlign w:val="center"/>
            <w:hideMark/>
          </w:tcPr>
          <w:p w14:paraId="3635B717"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3.4  |    4.2    |  5.0</w:t>
            </w:r>
          </w:p>
        </w:tc>
      </w:tr>
      <w:tr w:rsidR="003D3E46" w:rsidRPr="004758A5" w14:paraId="1991B50D" w14:textId="77777777" w:rsidTr="003D3E46">
        <w:trPr>
          <w:trHeight w:hRule="exact" w:val="288"/>
        </w:trPr>
        <w:tc>
          <w:tcPr>
            <w:tcW w:w="1440" w:type="dxa"/>
            <w:tcBorders>
              <w:top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1DF40ACD" w14:textId="77777777" w:rsidR="0053590F" w:rsidRPr="004758A5" w:rsidRDefault="0053590F" w:rsidP="00C5517E">
            <w:pPr>
              <w:pStyle w:val="TableText"/>
              <w:spacing w:before="20" w:after="20"/>
              <w:jc w:val="center"/>
              <w:rPr>
                <w:rFonts w:ascii="Calibri" w:hAnsi="Calibri"/>
              </w:rPr>
            </w:pPr>
            <w:r w:rsidRPr="004758A5">
              <w:t>1.2</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364F2793"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0.8  |    1.0    |  1.2</w:t>
            </w:r>
          </w:p>
        </w:tc>
        <w:tc>
          <w:tcPr>
            <w:tcW w:w="144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15AE08B9"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3.2</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50915E46" w14:textId="77777777" w:rsidR="0053590F" w:rsidRPr="004758A5" w:rsidRDefault="0053590F" w:rsidP="00C5517E">
            <w:pPr>
              <w:pStyle w:val="TableText"/>
              <w:spacing w:before="20" w:after="20"/>
              <w:jc w:val="center"/>
              <w:rPr>
                <w:sz w:val="18"/>
                <w:szCs w:val="18"/>
              </w:rPr>
            </w:pPr>
            <w:r w:rsidRPr="004758A5">
              <w:rPr>
                <w:sz w:val="18"/>
                <w:szCs w:val="18"/>
              </w:rPr>
              <w:t>2.2  |    2.7    |  3.2</w:t>
            </w:r>
          </w:p>
        </w:tc>
        <w:tc>
          <w:tcPr>
            <w:tcW w:w="1383"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73DA7EB1"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5.2</w:t>
            </w:r>
          </w:p>
        </w:tc>
        <w:tc>
          <w:tcPr>
            <w:tcW w:w="1587" w:type="dxa"/>
            <w:tcBorders>
              <w:top w:val="single" w:sz="4" w:space="0" w:color="425563" w:themeColor="accent1"/>
              <w:left w:val="single" w:sz="4" w:space="0" w:color="425563" w:themeColor="accent1"/>
              <w:bottom w:val="single" w:sz="4" w:space="0" w:color="425563" w:themeColor="accent1"/>
            </w:tcBorders>
            <w:shd w:val="clear" w:color="auto" w:fill="ECEADC"/>
            <w:tcMar>
              <w:top w:w="0" w:type="dxa"/>
              <w:left w:w="108" w:type="dxa"/>
              <w:bottom w:w="0" w:type="dxa"/>
              <w:right w:w="108" w:type="dxa"/>
            </w:tcMar>
            <w:vAlign w:val="center"/>
            <w:hideMark/>
          </w:tcPr>
          <w:p w14:paraId="203B2F49"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3.6  |    4.4    |  5.2</w:t>
            </w:r>
          </w:p>
        </w:tc>
      </w:tr>
      <w:tr w:rsidR="003D3E46" w:rsidRPr="004758A5" w14:paraId="21455153" w14:textId="77777777" w:rsidTr="003D3E46">
        <w:trPr>
          <w:trHeight w:hRule="exact" w:val="288"/>
        </w:trPr>
        <w:tc>
          <w:tcPr>
            <w:tcW w:w="1440" w:type="dxa"/>
            <w:tcBorders>
              <w:top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05DB69AD" w14:textId="77777777" w:rsidR="0053590F" w:rsidRPr="004758A5" w:rsidRDefault="0053590F" w:rsidP="00C5517E">
            <w:pPr>
              <w:pStyle w:val="TableText"/>
              <w:spacing w:before="20" w:after="20"/>
              <w:jc w:val="center"/>
              <w:rPr>
                <w:rFonts w:ascii="Calibri" w:hAnsi="Calibri"/>
              </w:rPr>
            </w:pPr>
            <w:r w:rsidRPr="004758A5">
              <w:t>1.4</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4D71BCEE"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1.0  |    1.2    |  1.4</w:t>
            </w:r>
          </w:p>
        </w:tc>
        <w:tc>
          <w:tcPr>
            <w:tcW w:w="144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1F69E150"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3.4</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3BF56E4A" w14:textId="77777777" w:rsidR="0053590F" w:rsidRPr="004758A5" w:rsidRDefault="0053590F" w:rsidP="00C5517E">
            <w:pPr>
              <w:pStyle w:val="TableText"/>
              <w:spacing w:before="20" w:after="20"/>
              <w:jc w:val="center"/>
              <w:rPr>
                <w:sz w:val="18"/>
                <w:szCs w:val="18"/>
              </w:rPr>
            </w:pPr>
            <w:r w:rsidRPr="004758A5">
              <w:rPr>
                <w:sz w:val="18"/>
                <w:szCs w:val="18"/>
              </w:rPr>
              <w:t>2.3  |    2.9    |  3.4</w:t>
            </w:r>
          </w:p>
        </w:tc>
        <w:tc>
          <w:tcPr>
            <w:tcW w:w="1383"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5194D783"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5.4</w:t>
            </w:r>
          </w:p>
        </w:tc>
        <w:tc>
          <w:tcPr>
            <w:tcW w:w="1587" w:type="dxa"/>
            <w:tcBorders>
              <w:top w:val="single" w:sz="4" w:space="0" w:color="425563" w:themeColor="accent1"/>
              <w:left w:val="single" w:sz="4" w:space="0" w:color="425563" w:themeColor="accent1"/>
              <w:bottom w:val="single" w:sz="4" w:space="0" w:color="425563" w:themeColor="accent1"/>
            </w:tcBorders>
            <w:shd w:val="clear" w:color="auto" w:fill="ECEADC"/>
            <w:tcMar>
              <w:top w:w="0" w:type="dxa"/>
              <w:left w:w="108" w:type="dxa"/>
              <w:bottom w:w="0" w:type="dxa"/>
              <w:right w:w="108" w:type="dxa"/>
            </w:tcMar>
            <w:vAlign w:val="center"/>
            <w:hideMark/>
          </w:tcPr>
          <w:p w14:paraId="561C9322"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3.7  |    4.6    |  5.4</w:t>
            </w:r>
          </w:p>
        </w:tc>
      </w:tr>
      <w:tr w:rsidR="003D3E46" w:rsidRPr="004758A5" w14:paraId="268500C7" w14:textId="77777777" w:rsidTr="003D3E46">
        <w:trPr>
          <w:trHeight w:hRule="exact" w:val="288"/>
        </w:trPr>
        <w:tc>
          <w:tcPr>
            <w:tcW w:w="1440" w:type="dxa"/>
            <w:tcBorders>
              <w:top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7B4DAC0C" w14:textId="77777777" w:rsidR="0053590F" w:rsidRPr="004758A5" w:rsidRDefault="0053590F" w:rsidP="00C5517E">
            <w:pPr>
              <w:pStyle w:val="TableText"/>
              <w:spacing w:before="20" w:after="20"/>
              <w:jc w:val="center"/>
              <w:rPr>
                <w:rFonts w:ascii="Calibri" w:hAnsi="Calibri"/>
              </w:rPr>
            </w:pPr>
            <w:r w:rsidRPr="004758A5">
              <w:t>1.6</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6DCE52D3"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1.1  |    1.4    |  1.6</w:t>
            </w:r>
          </w:p>
        </w:tc>
        <w:tc>
          <w:tcPr>
            <w:tcW w:w="144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1F4C5C45"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3.6</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4F7C8108" w14:textId="77777777" w:rsidR="0053590F" w:rsidRPr="004758A5" w:rsidRDefault="0053590F" w:rsidP="00C5517E">
            <w:pPr>
              <w:pStyle w:val="TableText"/>
              <w:spacing w:before="20" w:after="20"/>
              <w:jc w:val="center"/>
              <w:rPr>
                <w:sz w:val="18"/>
                <w:szCs w:val="18"/>
              </w:rPr>
            </w:pPr>
            <w:r w:rsidRPr="004758A5">
              <w:rPr>
                <w:sz w:val="18"/>
                <w:szCs w:val="18"/>
              </w:rPr>
              <w:t>2.5  |    3.0    |  3.6</w:t>
            </w:r>
          </w:p>
        </w:tc>
        <w:tc>
          <w:tcPr>
            <w:tcW w:w="1383"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766EF20F"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5.6</w:t>
            </w:r>
          </w:p>
        </w:tc>
        <w:tc>
          <w:tcPr>
            <w:tcW w:w="1587" w:type="dxa"/>
            <w:tcBorders>
              <w:top w:val="single" w:sz="4" w:space="0" w:color="425563" w:themeColor="accent1"/>
              <w:left w:val="single" w:sz="4" w:space="0" w:color="425563" w:themeColor="accent1"/>
              <w:bottom w:val="single" w:sz="4" w:space="0" w:color="425563" w:themeColor="accent1"/>
            </w:tcBorders>
            <w:shd w:val="clear" w:color="auto" w:fill="ECEADC"/>
            <w:tcMar>
              <w:top w:w="0" w:type="dxa"/>
              <w:left w:w="108" w:type="dxa"/>
              <w:bottom w:w="0" w:type="dxa"/>
              <w:right w:w="108" w:type="dxa"/>
            </w:tcMar>
            <w:vAlign w:val="center"/>
            <w:hideMark/>
          </w:tcPr>
          <w:p w14:paraId="194927B5"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3.8  |    4.7    |  5.6</w:t>
            </w:r>
          </w:p>
        </w:tc>
      </w:tr>
      <w:tr w:rsidR="003D3E46" w:rsidRPr="004758A5" w14:paraId="15E234A2" w14:textId="77777777" w:rsidTr="003D3E46">
        <w:trPr>
          <w:trHeight w:hRule="exact" w:val="288"/>
        </w:trPr>
        <w:tc>
          <w:tcPr>
            <w:tcW w:w="1440" w:type="dxa"/>
            <w:tcBorders>
              <w:top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577BAAB5" w14:textId="77777777" w:rsidR="0053590F" w:rsidRPr="004758A5" w:rsidRDefault="0053590F" w:rsidP="00C5517E">
            <w:pPr>
              <w:pStyle w:val="TableText"/>
              <w:spacing w:before="20" w:after="20"/>
              <w:jc w:val="center"/>
              <w:rPr>
                <w:rFonts w:ascii="Calibri" w:hAnsi="Calibri"/>
              </w:rPr>
            </w:pPr>
            <w:r w:rsidRPr="004758A5">
              <w:t>1.8</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3E50C87B"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1.2  |    1.5    |  1.8</w:t>
            </w:r>
          </w:p>
        </w:tc>
        <w:tc>
          <w:tcPr>
            <w:tcW w:w="144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3C27F1A6"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3.8</w:t>
            </w:r>
          </w:p>
        </w:tc>
        <w:tc>
          <w:tcPr>
            <w:tcW w:w="1620"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tcMar>
              <w:top w:w="0" w:type="dxa"/>
              <w:left w:w="108" w:type="dxa"/>
              <w:bottom w:w="0" w:type="dxa"/>
              <w:right w:w="108" w:type="dxa"/>
            </w:tcMar>
            <w:vAlign w:val="center"/>
            <w:hideMark/>
          </w:tcPr>
          <w:p w14:paraId="636E3469" w14:textId="77777777" w:rsidR="0053590F" w:rsidRPr="004758A5" w:rsidRDefault="0053590F" w:rsidP="00C5517E">
            <w:pPr>
              <w:pStyle w:val="TableText"/>
              <w:spacing w:before="20" w:after="20"/>
              <w:jc w:val="center"/>
              <w:rPr>
                <w:sz w:val="18"/>
                <w:szCs w:val="18"/>
              </w:rPr>
            </w:pPr>
            <w:r w:rsidRPr="004758A5">
              <w:rPr>
                <w:sz w:val="18"/>
                <w:szCs w:val="18"/>
              </w:rPr>
              <w:t>2.6  |    3.2    |  3.8</w:t>
            </w:r>
          </w:p>
        </w:tc>
        <w:tc>
          <w:tcPr>
            <w:tcW w:w="1383"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tcMar>
              <w:top w:w="0" w:type="dxa"/>
              <w:left w:w="108" w:type="dxa"/>
              <w:bottom w:w="0" w:type="dxa"/>
              <w:right w:w="108" w:type="dxa"/>
            </w:tcMar>
            <w:vAlign w:val="center"/>
            <w:hideMark/>
          </w:tcPr>
          <w:p w14:paraId="15DD8873"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5.8</w:t>
            </w:r>
          </w:p>
        </w:tc>
        <w:tc>
          <w:tcPr>
            <w:tcW w:w="1587" w:type="dxa"/>
            <w:tcBorders>
              <w:top w:val="single" w:sz="4" w:space="0" w:color="425563" w:themeColor="accent1"/>
              <w:left w:val="single" w:sz="4" w:space="0" w:color="425563" w:themeColor="accent1"/>
              <w:bottom w:val="single" w:sz="4" w:space="0" w:color="425563" w:themeColor="accent1"/>
            </w:tcBorders>
            <w:shd w:val="clear" w:color="auto" w:fill="ECEADC"/>
            <w:tcMar>
              <w:top w:w="0" w:type="dxa"/>
              <w:left w:w="108" w:type="dxa"/>
              <w:bottom w:w="0" w:type="dxa"/>
              <w:right w:w="108" w:type="dxa"/>
            </w:tcMar>
            <w:vAlign w:val="center"/>
            <w:hideMark/>
          </w:tcPr>
          <w:p w14:paraId="6EC85142"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4.0  |    4.9    |  5.8</w:t>
            </w:r>
          </w:p>
        </w:tc>
      </w:tr>
      <w:tr w:rsidR="003D3E46" w:rsidRPr="004758A5" w14:paraId="34AF7D11" w14:textId="77777777" w:rsidTr="003D3E46">
        <w:trPr>
          <w:trHeight w:hRule="exact" w:val="288"/>
        </w:trPr>
        <w:tc>
          <w:tcPr>
            <w:tcW w:w="1440" w:type="dxa"/>
            <w:tcBorders>
              <w:top w:val="single" w:sz="4" w:space="0" w:color="425563" w:themeColor="accent1"/>
              <w:bottom w:val="single" w:sz="12" w:space="0" w:color="00677F" w:themeColor="accent3"/>
              <w:right w:val="single" w:sz="4" w:space="0" w:color="425563" w:themeColor="accent1"/>
            </w:tcBorders>
            <w:tcMar>
              <w:top w:w="0" w:type="dxa"/>
              <w:left w:w="108" w:type="dxa"/>
              <w:bottom w:w="0" w:type="dxa"/>
              <w:right w:w="108" w:type="dxa"/>
            </w:tcMar>
            <w:vAlign w:val="center"/>
            <w:hideMark/>
          </w:tcPr>
          <w:p w14:paraId="2209F4CF" w14:textId="77777777" w:rsidR="0053590F" w:rsidRPr="004758A5" w:rsidRDefault="0053590F" w:rsidP="00C5517E">
            <w:pPr>
              <w:pStyle w:val="TableText"/>
              <w:spacing w:before="20" w:after="20"/>
              <w:jc w:val="center"/>
              <w:rPr>
                <w:rFonts w:ascii="Calibri" w:hAnsi="Calibri"/>
              </w:rPr>
            </w:pPr>
            <w:r w:rsidRPr="004758A5">
              <w:t>2.0</w:t>
            </w:r>
          </w:p>
        </w:tc>
        <w:tc>
          <w:tcPr>
            <w:tcW w:w="1620" w:type="dxa"/>
            <w:tcBorders>
              <w:top w:val="single" w:sz="4" w:space="0" w:color="425563" w:themeColor="accent1"/>
              <w:left w:val="single" w:sz="4" w:space="0" w:color="425563" w:themeColor="accent1"/>
              <w:bottom w:val="single" w:sz="12" w:space="0" w:color="00677F" w:themeColor="accent3"/>
              <w:right w:val="single" w:sz="4" w:space="0" w:color="425563" w:themeColor="accent1"/>
            </w:tcBorders>
            <w:shd w:val="clear" w:color="auto" w:fill="ECEADC"/>
            <w:tcMar>
              <w:top w:w="0" w:type="dxa"/>
              <w:left w:w="108" w:type="dxa"/>
              <w:bottom w:w="0" w:type="dxa"/>
              <w:right w:w="108" w:type="dxa"/>
            </w:tcMar>
            <w:vAlign w:val="center"/>
            <w:hideMark/>
          </w:tcPr>
          <w:p w14:paraId="73016763"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1.4  |    1.7    |  2.0</w:t>
            </w:r>
          </w:p>
        </w:tc>
        <w:tc>
          <w:tcPr>
            <w:tcW w:w="1440" w:type="dxa"/>
            <w:tcBorders>
              <w:top w:val="single" w:sz="4" w:space="0" w:color="425563" w:themeColor="accent1"/>
              <w:left w:val="single" w:sz="4" w:space="0" w:color="425563" w:themeColor="accent1"/>
              <w:bottom w:val="single" w:sz="12" w:space="0" w:color="00677F" w:themeColor="accent3"/>
              <w:right w:val="single" w:sz="4" w:space="0" w:color="425563" w:themeColor="accent1"/>
            </w:tcBorders>
            <w:tcMar>
              <w:top w:w="0" w:type="dxa"/>
              <w:left w:w="108" w:type="dxa"/>
              <w:bottom w:w="0" w:type="dxa"/>
              <w:right w:w="108" w:type="dxa"/>
            </w:tcMar>
            <w:vAlign w:val="center"/>
            <w:hideMark/>
          </w:tcPr>
          <w:p w14:paraId="17E83807"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4.0</w:t>
            </w:r>
          </w:p>
        </w:tc>
        <w:tc>
          <w:tcPr>
            <w:tcW w:w="1620" w:type="dxa"/>
            <w:tcBorders>
              <w:top w:val="single" w:sz="4" w:space="0" w:color="425563" w:themeColor="accent1"/>
              <w:left w:val="single" w:sz="4" w:space="0" w:color="425563" w:themeColor="accent1"/>
              <w:bottom w:val="single" w:sz="12" w:space="0" w:color="00677F" w:themeColor="accent3"/>
              <w:right w:val="single" w:sz="4" w:space="0" w:color="425563" w:themeColor="accent1"/>
            </w:tcBorders>
            <w:shd w:val="clear" w:color="auto" w:fill="ECEADC"/>
            <w:tcMar>
              <w:top w:w="0" w:type="dxa"/>
              <w:left w:w="108" w:type="dxa"/>
              <w:bottom w:w="0" w:type="dxa"/>
              <w:right w:w="108" w:type="dxa"/>
            </w:tcMar>
            <w:vAlign w:val="center"/>
            <w:hideMark/>
          </w:tcPr>
          <w:p w14:paraId="42BA3025" w14:textId="77777777" w:rsidR="0053590F" w:rsidRPr="004758A5" w:rsidRDefault="0053590F" w:rsidP="00C5517E">
            <w:pPr>
              <w:pStyle w:val="TableText"/>
              <w:spacing w:before="20" w:after="20"/>
              <w:jc w:val="center"/>
              <w:rPr>
                <w:sz w:val="18"/>
                <w:szCs w:val="18"/>
              </w:rPr>
            </w:pPr>
            <w:r w:rsidRPr="004758A5">
              <w:rPr>
                <w:sz w:val="18"/>
                <w:szCs w:val="18"/>
              </w:rPr>
              <w:t>2.7  |    3.4    |  4.0</w:t>
            </w:r>
          </w:p>
        </w:tc>
        <w:tc>
          <w:tcPr>
            <w:tcW w:w="1383" w:type="dxa"/>
            <w:tcBorders>
              <w:top w:val="single" w:sz="4" w:space="0" w:color="425563" w:themeColor="accent1"/>
              <w:left w:val="single" w:sz="4" w:space="0" w:color="425563" w:themeColor="accent1"/>
              <w:bottom w:val="single" w:sz="12" w:space="0" w:color="00677F" w:themeColor="accent3"/>
              <w:right w:val="single" w:sz="4" w:space="0" w:color="425563" w:themeColor="accent1"/>
            </w:tcBorders>
            <w:tcMar>
              <w:top w:w="0" w:type="dxa"/>
              <w:left w:w="108" w:type="dxa"/>
              <w:bottom w:w="0" w:type="dxa"/>
              <w:right w:w="108" w:type="dxa"/>
            </w:tcMar>
            <w:vAlign w:val="center"/>
            <w:hideMark/>
          </w:tcPr>
          <w:p w14:paraId="7BD5DFD8"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6.0</w:t>
            </w:r>
          </w:p>
        </w:tc>
        <w:tc>
          <w:tcPr>
            <w:tcW w:w="1587" w:type="dxa"/>
            <w:tcBorders>
              <w:top w:val="single" w:sz="4" w:space="0" w:color="425563" w:themeColor="accent1"/>
              <w:left w:val="single" w:sz="4" w:space="0" w:color="425563" w:themeColor="accent1"/>
              <w:bottom w:val="single" w:sz="12" w:space="0" w:color="00677F" w:themeColor="accent3"/>
            </w:tcBorders>
            <w:shd w:val="clear" w:color="auto" w:fill="ECEADC"/>
            <w:tcMar>
              <w:top w:w="0" w:type="dxa"/>
              <w:left w:w="108" w:type="dxa"/>
              <w:bottom w:w="0" w:type="dxa"/>
              <w:right w:w="108" w:type="dxa"/>
            </w:tcMar>
            <w:vAlign w:val="center"/>
            <w:hideMark/>
          </w:tcPr>
          <w:p w14:paraId="56F94A98" w14:textId="77777777" w:rsidR="0053590F" w:rsidRPr="004758A5" w:rsidRDefault="0053590F" w:rsidP="00C5517E">
            <w:pPr>
              <w:pStyle w:val="TableText"/>
              <w:spacing w:before="20" w:after="20"/>
              <w:jc w:val="center"/>
              <w:rPr>
                <w:rFonts w:ascii="Calibri" w:hAnsi="Calibri"/>
                <w:sz w:val="18"/>
                <w:szCs w:val="18"/>
              </w:rPr>
            </w:pPr>
            <w:r w:rsidRPr="004758A5">
              <w:rPr>
                <w:sz w:val="18"/>
                <w:szCs w:val="18"/>
              </w:rPr>
              <w:t>4.1  |    5.1    |  6.0</w:t>
            </w:r>
          </w:p>
        </w:tc>
      </w:tr>
    </w:tbl>
    <w:p w14:paraId="0E16CE4E" w14:textId="158AC95A" w:rsidR="00420C74" w:rsidRPr="004758A5" w:rsidRDefault="00357466" w:rsidP="00544BA2">
      <w:pPr>
        <w:pStyle w:val="Heading4"/>
        <w:spacing w:before="240"/>
      </w:pPr>
      <w:r w:rsidRPr="004758A5">
        <w:lastRenderedPageBreak/>
        <w:t xml:space="preserve">Infiltration and </w:t>
      </w:r>
      <w:r w:rsidR="00420C74" w:rsidRPr="004758A5">
        <w:t>Release Rates</w:t>
      </w:r>
    </w:p>
    <w:p w14:paraId="7D5B620E" w14:textId="27C364C6" w:rsidR="00420C74" w:rsidRPr="004758A5" w:rsidRDefault="00D322B1" w:rsidP="00FE05EB">
      <w:pPr>
        <w:pStyle w:val="BodyText"/>
      </w:pPr>
      <w:r w:rsidRPr="004758A5">
        <w:t>For facilities that function just for water quality control</w:t>
      </w:r>
      <w:r w:rsidR="00FC6F0F" w:rsidRPr="004758A5">
        <w:t>,</w:t>
      </w:r>
      <w:r w:rsidRPr="004758A5">
        <w:t xml:space="preserve"> the WQCV will be stored for a duration between 24 and 40 hours. </w:t>
      </w:r>
      <w:r w:rsidR="00420C74" w:rsidRPr="004758A5">
        <w:t xml:space="preserve">For facilities that combine water quality control with flood control, the runoff from the design storms for the flood control criteria shall be </w:t>
      </w:r>
      <w:r w:rsidR="00FC6F0F" w:rsidRPr="004758A5">
        <w:t>“</w:t>
      </w:r>
      <w:r w:rsidR="00420C74" w:rsidRPr="004758A5">
        <w:t>stacked</w:t>
      </w:r>
      <w:r w:rsidR="00FC6F0F" w:rsidRPr="004758A5">
        <w:t>”</w:t>
      </w:r>
      <w:r w:rsidR="00420C74" w:rsidRPr="004758A5">
        <w:t xml:space="preserve"> on top of the </w:t>
      </w:r>
      <w:r w:rsidRPr="004758A5">
        <w:t>WQCV</w:t>
      </w:r>
      <w:r w:rsidR="00420C74" w:rsidRPr="004758A5">
        <w:t xml:space="preserve">. </w:t>
      </w:r>
      <w:r w:rsidRPr="004758A5">
        <w:t xml:space="preserve">In this case, the facility shall be drained within 72 hours. </w:t>
      </w:r>
      <w:r w:rsidR="00420C74" w:rsidRPr="004758A5">
        <w:t xml:space="preserve">These types of facilities may be required to have multi-stage control structures to control runoff from the </w:t>
      </w:r>
      <w:r w:rsidRPr="004758A5">
        <w:t>WQCV</w:t>
      </w:r>
      <w:r w:rsidR="00FC6F0F" w:rsidRPr="004758A5">
        <w:t>,</w:t>
      </w:r>
      <w:r w:rsidR="00420C74" w:rsidRPr="004758A5">
        <w:t xml:space="preserve"> as well as the flood control design storms.</w:t>
      </w:r>
      <w:r w:rsidR="00357466" w:rsidRPr="004758A5">
        <w:t xml:space="preserve"> Refer to Chapter 7 for further guidance.</w:t>
      </w:r>
      <w:r w:rsidR="00420C74" w:rsidRPr="004758A5">
        <w:t xml:space="preserve"> </w:t>
      </w:r>
    </w:p>
    <w:p w14:paraId="5D724655" w14:textId="59AD24E2" w:rsidR="00420C74" w:rsidRPr="004758A5" w:rsidRDefault="00420C74" w:rsidP="00FE05EB">
      <w:pPr>
        <w:pStyle w:val="BodyText"/>
      </w:pPr>
      <w:r w:rsidRPr="004758A5">
        <w:t>For BMPs that are designed for subsurface storage (e.g.</w:t>
      </w:r>
      <w:r w:rsidR="00FC6F0F" w:rsidRPr="004758A5">
        <w:t>,</w:t>
      </w:r>
      <w:r w:rsidRPr="004758A5">
        <w:t xml:space="preserve"> pervious pavements, </w:t>
      </w:r>
      <w:r w:rsidR="00357466" w:rsidRPr="004758A5">
        <w:t>underground stormwater chambers, etc</w:t>
      </w:r>
      <w:r w:rsidRPr="004758A5">
        <w:t>.)</w:t>
      </w:r>
      <w:r w:rsidR="00FC6F0F" w:rsidRPr="004758A5">
        <w:t>,</w:t>
      </w:r>
      <w:r w:rsidRPr="004758A5">
        <w:t xml:space="preserve"> the subsurface storage must hold the </w:t>
      </w:r>
      <w:r w:rsidR="008467D7" w:rsidRPr="004758A5">
        <w:t>WQCV</w:t>
      </w:r>
      <w:r w:rsidR="00231142" w:rsidRPr="004758A5">
        <w:t xml:space="preserve"> for the required period and release </w:t>
      </w:r>
      <w:r w:rsidR="008E1CD2" w:rsidRPr="004758A5">
        <w:t>or infiltrate</w:t>
      </w:r>
      <w:r w:rsidRPr="004758A5">
        <w:t xml:space="preserve"> into the underlying soil.</w:t>
      </w:r>
    </w:p>
    <w:p w14:paraId="00D28B88" w14:textId="2A423152" w:rsidR="000100C5" w:rsidRPr="004758A5" w:rsidRDefault="008E1CD2" w:rsidP="00FE05EB">
      <w:pPr>
        <w:pStyle w:val="BodyText"/>
      </w:pPr>
      <w:r w:rsidRPr="004758A5">
        <w:t xml:space="preserve">Infiltration tests shall be done to determine the local infiltration rates if infiltration is a critical part of the Structural BMP facility. An underdrain is needed if the infiltration rate is inadequate or if infiltration is not desired, as well as for maintenance and cleanout purposes. </w:t>
      </w:r>
    </w:p>
    <w:p w14:paraId="1416B573" w14:textId="35CAF9EA" w:rsidR="0088350B" w:rsidRPr="004758A5" w:rsidRDefault="0088350B" w:rsidP="00A33A75">
      <w:pPr>
        <w:pStyle w:val="Heading2"/>
      </w:pPr>
      <w:bookmarkStart w:id="17" w:name="_Toc46841989"/>
      <w:r w:rsidRPr="004758A5">
        <w:t>Platting and Site Plan Review</w:t>
      </w:r>
      <w:bookmarkEnd w:id="17"/>
    </w:p>
    <w:p w14:paraId="463BABFB" w14:textId="5D7C23E5" w:rsidR="0088350B" w:rsidRPr="004758A5" w:rsidRDefault="0088350B" w:rsidP="00FE05EB">
      <w:pPr>
        <w:pStyle w:val="BodyText"/>
      </w:pPr>
      <w:r w:rsidRPr="004758A5">
        <w:t>Land development that meets the land disturbance criteria of this memorandum must address storm water runoff quality through the use of BMPs. BMPs shall be provided for in the drainage plan for any subdivision plat, annexation plat, development agreement, subdivision agreement or other local development plan.</w:t>
      </w:r>
    </w:p>
    <w:p w14:paraId="46D93ABF" w14:textId="29E05216" w:rsidR="00B372CC" w:rsidRPr="004758A5" w:rsidRDefault="00B372CC" w:rsidP="00B372CC">
      <w:pPr>
        <w:pStyle w:val="Heading3"/>
        <w:rPr>
          <w:rFonts w:eastAsia="Times New Roman"/>
        </w:rPr>
      </w:pPr>
      <w:bookmarkStart w:id="18" w:name="_Toc46841990"/>
      <w:r w:rsidRPr="004758A5">
        <w:rPr>
          <w:rFonts w:eastAsia="Times New Roman"/>
        </w:rPr>
        <w:t>Procedures</w:t>
      </w:r>
      <w:bookmarkEnd w:id="18"/>
    </w:p>
    <w:p w14:paraId="16AF8084" w14:textId="04414725" w:rsidR="00B372CC" w:rsidRPr="004758A5" w:rsidRDefault="00B372CC" w:rsidP="00B372CC">
      <w:pPr>
        <w:pStyle w:val="Heading4"/>
        <w:rPr>
          <w:rFonts w:eastAsia="Times New Roman"/>
        </w:rPr>
      </w:pPr>
      <w:r w:rsidRPr="004758A5">
        <w:rPr>
          <w:rFonts w:eastAsia="Times New Roman"/>
        </w:rPr>
        <w:t>Platting</w:t>
      </w:r>
    </w:p>
    <w:p w14:paraId="7E8C6012" w14:textId="6B20DFE8" w:rsidR="00B372CC" w:rsidRPr="004758A5" w:rsidRDefault="00B372CC" w:rsidP="00FE05EB">
      <w:pPr>
        <w:pStyle w:val="BodyText"/>
      </w:pPr>
      <w:r w:rsidRPr="004758A5">
        <w:t>For major subdivision applications</w:t>
      </w:r>
      <w:r w:rsidR="00FC6F0F" w:rsidRPr="004758A5">
        <w:t>,</w:t>
      </w:r>
      <w:r w:rsidRPr="004758A5">
        <w:t xml:space="preserve"> drainage and post-construction shall be discussed at the pre</w:t>
      </w:r>
      <w:r w:rsidR="00FC6F0F" w:rsidRPr="004758A5">
        <w:noBreakHyphen/>
      </w:r>
      <w:r w:rsidRPr="004758A5">
        <w:t xml:space="preserve">application conference. This would be followed by an initial review of the general design at the preliminary platting stage and detailed design carrying over into final design review. </w:t>
      </w:r>
    </w:p>
    <w:p w14:paraId="2863890D" w14:textId="36C2D6EA" w:rsidR="00B372CC" w:rsidRPr="004758A5" w:rsidRDefault="00B372CC" w:rsidP="00FE05EB">
      <w:pPr>
        <w:pStyle w:val="BodyText"/>
      </w:pPr>
      <w:r w:rsidRPr="004758A5">
        <w:t>The plat applicant shall identify, through the Subdivision Agreement or other City-approved means, whether post-construction stormwater management facilities will be (1)</w:t>
      </w:r>
      <w:r w:rsidR="00FC6F0F" w:rsidRPr="004758A5">
        <w:t> </w:t>
      </w:r>
      <w:r w:rsidRPr="004758A5">
        <w:t xml:space="preserve">constructed by each lot owner on their own lot (Lot Level </w:t>
      </w:r>
      <w:r w:rsidR="00EE3235" w:rsidRPr="004758A5">
        <w:t>BMP</w:t>
      </w:r>
      <w:r w:rsidRPr="004758A5">
        <w:t>s); (2)</w:t>
      </w:r>
      <w:r w:rsidR="00FC6F0F" w:rsidRPr="004758A5">
        <w:t> </w:t>
      </w:r>
      <w:r w:rsidRPr="004758A5">
        <w:t xml:space="preserve">constructed for the subdivision by the developer with reimbursement sought from individual lot builders (Neighborhood </w:t>
      </w:r>
      <w:r w:rsidR="00EE3235" w:rsidRPr="004758A5">
        <w:t>BMP</w:t>
      </w:r>
      <w:r w:rsidRPr="004758A5">
        <w:t>s); (3)</w:t>
      </w:r>
      <w:r w:rsidR="00FC6F0F" w:rsidRPr="004758A5">
        <w:t> </w:t>
      </w:r>
      <w:r w:rsidRPr="004758A5">
        <w:t xml:space="preserve">mitigated off-site at regional facilities (Regional </w:t>
      </w:r>
      <w:r w:rsidR="00EE3235" w:rsidRPr="004758A5">
        <w:t>BMP</w:t>
      </w:r>
      <w:r w:rsidRPr="004758A5">
        <w:t>s), or (4)</w:t>
      </w:r>
      <w:r w:rsidR="00FC6F0F" w:rsidRPr="004758A5">
        <w:t> </w:t>
      </w:r>
      <w:r w:rsidRPr="004758A5">
        <w:t>addressed by other means approved by the City. Any other conditions agreed to between the two parties, including inspections, maintenance, and funding of maintenance</w:t>
      </w:r>
      <w:r w:rsidR="00FC6F0F" w:rsidRPr="004758A5">
        <w:t>,</w:t>
      </w:r>
      <w:r w:rsidRPr="004758A5">
        <w:t xml:space="preserve"> shall be included in that agreement.</w:t>
      </w:r>
    </w:p>
    <w:p w14:paraId="0D8D76BE" w14:textId="7CD090F1" w:rsidR="00B372CC" w:rsidRPr="004758A5" w:rsidRDefault="00B372CC" w:rsidP="00B372CC">
      <w:pPr>
        <w:pStyle w:val="Heading4"/>
        <w:rPr>
          <w:rFonts w:eastAsia="Times New Roman"/>
        </w:rPr>
      </w:pPr>
      <w:r w:rsidRPr="004758A5">
        <w:rPr>
          <w:rFonts w:eastAsia="Times New Roman"/>
        </w:rPr>
        <w:t>Building Permits</w:t>
      </w:r>
    </w:p>
    <w:p w14:paraId="71E33D86" w14:textId="302157E1" w:rsidR="0088350B" w:rsidRPr="004758A5" w:rsidRDefault="00B372CC" w:rsidP="00FE05EB">
      <w:pPr>
        <w:pStyle w:val="BodyText"/>
      </w:pPr>
      <w:r w:rsidRPr="004758A5">
        <w:t xml:space="preserve">If Lot Level </w:t>
      </w:r>
      <w:r w:rsidR="00DB6D5E" w:rsidRPr="004758A5">
        <w:t>BMP</w:t>
      </w:r>
      <w:r w:rsidRPr="004758A5">
        <w:t>s are required per the Subdivision Agreement or other agreement, then the lot builder will need to develop and have approved a drainage study, post-construction stormwater management plan, and maintenance agreement. A maintenance agreement for an individual lot shall include provisions for maintenance that shall be binding on all subsequent owners.</w:t>
      </w:r>
    </w:p>
    <w:p w14:paraId="2416F893" w14:textId="77777777" w:rsidR="00B372CC" w:rsidRPr="004758A5" w:rsidRDefault="00B372CC" w:rsidP="00B372CC">
      <w:pPr>
        <w:pStyle w:val="Heading3"/>
        <w:rPr>
          <w:rFonts w:eastAsia="Times New Roman"/>
        </w:rPr>
      </w:pPr>
      <w:bookmarkStart w:id="19" w:name="_Toc46841991"/>
      <w:r w:rsidRPr="004758A5">
        <w:rPr>
          <w:rFonts w:eastAsia="Times New Roman"/>
        </w:rPr>
        <w:t>Submittals</w:t>
      </w:r>
      <w:bookmarkEnd w:id="19"/>
    </w:p>
    <w:p w14:paraId="7673DAC3" w14:textId="10318B1C" w:rsidR="00B372CC" w:rsidRPr="004758A5" w:rsidRDefault="00B372CC" w:rsidP="00FE05EB">
      <w:pPr>
        <w:pStyle w:val="BodyText"/>
      </w:pPr>
      <w:r w:rsidRPr="004758A5">
        <w:t>The PCSMP submittal will include the following components</w:t>
      </w:r>
      <w:r w:rsidR="00FC6F0F" w:rsidRPr="004758A5">
        <w:t xml:space="preserve">: plans, </w:t>
      </w:r>
      <w:r w:rsidR="006E4A51" w:rsidRPr="004758A5">
        <w:t>calculations, certifications of permanent BMPs, ongoing inspection and maintenance of BMPs, and PCSMP submittal checklist.</w:t>
      </w:r>
    </w:p>
    <w:p w14:paraId="559C68A5" w14:textId="324BE0D2" w:rsidR="00B372CC" w:rsidRPr="004758A5" w:rsidRDefault="00B372CC" w:rsidP="00B372CC">
      <w:pPr>
        <w:pStyle w:val="Heading4"/>
        <w:rPr>
          <w:rFonts w:eastAsia="Times New Roman"/>
        </w:rPr>
      </w:pPr>
      <w:r w:rsidRPr="004758A5">
        <w:rPr>
          <w:rFonts w:eastAsia="Times New Roman"/>
        </w:rPr>
        <w:lastRenderedPageBreak/>
        <w:t>Plans</w:t>
      </w:r>
    </w:p>
    <w:p w14:paraId="6C675AE1" w14:textId="709593F1" w:rsidR="00B372CC" w:rsidRPr="004758A5" w:rsidRDefault="00B372CC" w:rsidP="00544BA2">
      <w:pPr>
        <w:pStyle w:val="BodyText"/>
        <w:spacing w:after="120"/>
      </w:pPr>
      <w:r w:rsidRPr="004758A5">
        <w:t>Plans showing topographic survey information</w:t>
      </w:r>
      <w:r w:rsidR="006E4A51" w:rsidRPr="004758A5">
        <w:t>,</w:t>
      </w:r>
      <w:r w:rsidRPr="004758A5">
        <w:t xml:space="preserve"> along with proposed, grading, stormwater infrastructure (including </w:t>
      </w:r>
      <w:r w:rsidR="00EE3235" w:rsidRPr="004758A5">
        <w:t>BMP</w:t>
      </w:r>
      <w:r w:rsidRPr="004758A5">
        <w:t>s), pavement, and structures</w:t>
      </w:r>
      <w:r w:rsidR="006E4A51" w:rsidRPr="004758A5">
        <w:t>,</w:t>
      </w:r>
      <w:r w:rsidRPr="004758A5">
        <w:t xml:space="preserve"> shall accompany any PCSMP submittal. Specifically, plans shall include the following information:</w:t>
      </w:r>
    </w:p>
    <w:p w14:paraId="54165AE1" w14:textId="32ADDD0E" w:rsidR="00B372CC" w:rsidRPr="004758A5" w:rsidRDefault="00B372CC" w:rsidP="0083736E">
      <w:pPr>
        <w:pStyle w:val="ReportBullet1"/>
      </w:pPr>
      <w:r w:rsidRPr="004758A5">
        <w:t>Site topography including existing contours, property lines and easements, utilities, and site features such as existing water bodies, trees and shrubs, pavement and other structures</w:t>
      </w:r>
    </w:p>
    <w:p w14:paraId="78A94E5D" w14:textId="3005127B" w:rsidR="00B372CC" w:rsidRPr="004758A5" w:rsidRDefault="00B372CC" w:rsidP="0083736E">
      <w:pPr>
        <w:pStyle w:val="ReportBullet1"/>
      </w:pPr>
      <w:r w:rsidRPr="004758A5">
        <w:t>Proposed contours</w:t>
      </w:r>
    </w:p>
    <w:p w14:paraId="123043D1" w14:textId="76DB59BC" w:rsidR="00B372CC" w:rsidRPr="004758A5" w:rsidRDefault="00B372CC" w:rsidP="0083736E">
      <w:pPr>
        <w:pStyle w:val="ReportBullet1"/>
      </w:pPr>
      <w:r w:rsidRPr="004758A5">
        <w:t>Proposed inlets, storm sewer, culverts, and drainageways</w:t>
      </w:r>
    </w:p>
    <w:p w14:paraId="60A6707B" w14:textId="0C5A0D6A" w:rsidR="00B372CC" w:rsidRPr="004758A5" w:rsidRDefault="00B372CC" w:rsidP="0083736E">
      <w:pPr>
        <w:pStyle w:val="ReportBullet1"/>
      </w:pPr>
      <w:r w:rsidRPr="004758A5">
        <w:t xml:space="preserve">Proposed </w:t>
      </w:r>
      <w:r w:rsidR="00EE3235" w:rsidRPr="004758A5">
        <w:t>BMP</w:t>
      </w:r>
      <w:r w:rsidRPr="004758A5">
        <w:t>s and/or detention facilities</w:t>
      </w:r>
    </w:p>
    <w:p w14:paraId="6C360A6E" w14:textId="5B3A0AE3" w:rsidR="00B372CC" w:rsidRPr="004758A5" w:rsidRDefault="00B372CC" w:rsidP="00FE05EB">
      <w:pPr>
        <w:pStyle w:val="ReportBullet1LAST"/>
      </w:pPr>
      <w:r w:rsidRPr="004758A5">
        <w:t>Proposed roadways, parking, building footprints, and other structures</w:t>
      </w:r>
    </w:p>
    <w:p w14:paraId="44C706A0" w14:textId="6B650C46" w:rsidR="00B372CC" w:rsidRPr="004758A5" w:rsidRDefault="00A60C4D" w:rsidP="00FE05EB">
      <w:pPr>
        <w:pStyle w:val="BodyText"/>
      </w:pPr>
      <w:r w:rsidRPr="004758A5">
        <w:t>Construction drawings shall provide a</w:t>
      </w:r>
      <w:r w:rsidR="00B372CC" w:rsidRPr="004758A5">
        <w:t xml:space="preserve"> table that include</w:t>
      </w:r>
      <w:r w:rsidRPr="004758A5">
        <w:t>s</w:t>
      </w:r>
      <w:r w:rsidR="00B372CC" w:rsidRPr="004758A5">
        <w:t xml:space="preserve">, for each </w:t>
      </w:r>
      <w:r w:rsidR="00EE3235" w:rsidRPr="004758A5">
        <w:t>BMP</w:t>
      </w:r>
      <w:r w:rsidRPr="004758A5">
        <w:t>,</w:t>
      </w:r>
      <w:r w:rsidR="00B372CC" w:rsidRPr="004758A5">
        <w:t xml:space="preserve"> (1)</w:t>
      </w:r>
      <w:r w:rsidRPr="004758A5">
        <w:t> </w:t>
      </w:r>
      <w:r w:rsidR="00B372CC" w:rsidRPr="004758A5">
        <w:t>a location identifier, (2)</w:t>
      </w:r>
      <w:r w:rsidRPr="004758A5">
        <w:t> </w:t>
      </w:r>
      <w:r w:rsidR="00B372CC" w:rsidRPr="004758A5">
        <w:t xml:space="preserve">the type of </w:t>
      </w:r>
      <w:r w:rsidR="00EE3235" w:rsidRPr="004758A5">
        <w:t>BMP</w:t>
      </w:r>
      <w:r w:rsidR="00B372CC" w:rsidRPr="004758A5">
        <w:t>, (3)</w:t>
      </w:r>
      <w:r w:rsidRPr="004758A5">
        <w:t> </w:t>
      </w:r>
      <w:r w:rsidR="00B372CC" w:rsidRPr="004758A5">
        <w:t xml:space="preserve">the location for each </w:t>
      </w:r>
      <w:r w:rsidR="00EE3235" w:rsidRPr="004758A5">
        <w:t>BMP</w:t>
      </w:r>
      <w:r w:rsidR="00B372CC" w:rsidRPr="004758A5">
        <w:t xml:space="preserve"> in latitude/longitude format, (4)</w:t>
      </w:r>
      <w:r w:rsidRPr="004758A5">
        <w:t> </w:t>
      </w:r>
      <w:r w:rsidR="00B372CC" w:rsidRPr="004758A5">
        <w:t>the drainage area, and (5)</w:t>
      </w:r>
      <w:r w:rsidRPr="004758A5">
        <w:t> </w:t>
      </w:r>
      <w:r w:rsidR="00B372CC" w:rsidRPr="004758A5">
        <w:t>the water quality volume/water quality volume discharge rate. The designer shall differentiate between the amount required by design and the amount that will be provided. Any discrepancies should be discussed with and approved by the City. The information shall be provided on drawings in a format that is consistent with the following:</w:t>
      </w:r>
    </w:p>
    <w:tbl>
      <w:tblPr>
        <w:tblStyle w:val="TableGrid"/>
        <w:tblW w:w="9540" w:type="dxa"/>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ayout w:type="fixed"/>
        <w:tblLook w:val="04A0" w:firstRow="1" w:lastRow="0" w:firstColumn="1" w:lastColumn="0" w:noHBand="0" w:noVBand="1"/>
      </w:tblPr>
      <w:tblGrid>
        <w:gridCol w:w="1620"/>
        <w:gridCol w:w="1290"/>
        <w:gridCol w:w="1545"/>
        <w:gridCol w:w="1545"/>
        <w:gridCol w:w="1740"/>
        <w:gridCol w:w="1800"/>
      </w:tblGrid>
      <w:tr w:rsidR="008949C2" w:rsidRPr="004758A5" w14:paraId="754A0742" w14:textId="2A92216A" w:rsidTr="00A60C4D">
        <w:tc>
          <w:tcPr>
            <w:tcW w:w="1620" w:type="dxa"/>
            <w:shd w:val="clear" w:color="auto" w:fill="00677F"/>
            <w:vAlign w:val="center"/>
          </w:tcPr>
          <w:p w14:paraId="3A8001B5" w14:textId="788B0ED7" w:rsidR="008949C2" w:rsidRPr="004758A5" w:rsidRDefault="008949C2" w:rsidP="00A60C4D">
            <w:pPr>
              <w:pStyle w:val="TableHeading"/>
            </w:pPr>
            <w:r w:rsidRPr="004758A5">
              <w:t>BMP Identification Number</w:t>
            </w:r>
          </w:p>
        </w:tc>
        <w:tc>
          <w:tcPr>
            <w:tcW w:w="1290" w:type="dxa"/>
            <w:shd w:val="clear" w:color="auto" w:fill="00677F"/>
            <w:vAlign w:val="center"/>
          </w:tcPr>
          <w:p w14:paraId="5BCE48CE" w14:textId="60CE7FE7" w:rsidR="008949C2" w:rsidRPr="004758A5" w:rsidRDefault="008949C2" w:rsidP="00A60C4D">
            <w:pPr>
              <w:pStyle w:val="TableHeading"/>
            </w:pPr>
            <w:r w:rsidRPr="004758A5">
              <w:t>BMP Type</w:t>
            </w:r>
          </w:p>
        </w:tc>
        <w:tc>
          <w:tcPr>
            <w:tcW w:w="1545" w:type="dxa"/>
            <w:shd w:val="clear" w:color="auto" w:fill="00677F"/>
            <w:vAlign w:val="center"/>
          </w:tcPr>
          <w:p w14:paraId="13CBEEB1" w14:textId="2DEA76D5" w:rsidR="008949C2" w:rsidRPr="004758A5" w:rsidRDefault="008949C2" w:rsidP="00A60C4D">
            <w:pPr>
              <w:pStyle w:val="TableHeading"/>
            </w:pPr>
            <w:r w:rsidRPr="004758A5">
              <w:t>BMP Location (Lat/Long)</w:t>
            </w:r>
          </w:p>
        </w:tc>
        <w:tc>
          <w:tcPr>
            <w:tcW w:w="1545" w:type="dxa"/>
            <w:tcBorders>
              <w:right w:val="single" w:sz="4" w:space="0" w:color="425563" w:themeColor="accent1"/>
            </w:tcBorders>
            <w:shd w:val="clear" w:color="auto" w:fill="00677F"/>
            <w:vAlign w:val="center"/>
          </w:tcPr>
          <w:p w14:paraId="1190A657" w14:textId="0325B3E8" w:rsidR="008949C2" w:rsidRPr="004758A5" w:rsidRDefault="008949C2" w:rsidP="00A60C4D">
            <w:pPr>
              <w:pStyle w:val="TableHeading"/>
            </w:pPr>
            <w:r w:rsidRPr="004758A5">
              <w:t>Drainage Area (Acres)</w:t>
            </w:r>
          </w:p>
        </w:tc>
        <w:tc>
          <w:tcPr>
            <w:tcW w:w="1740" w:type="dxa"/>
            <w:tcBorders>
              <w:left w:val="single" w:sz="4" w:space="0" w:color="425563" w:themeColor="accent1"/>
              <w:right w:val="single" w:sz="4" w:space="0" w:color="425563" w:themeColor="accent1"/>
            </w:tcBorders>
            <w:shd w:val="clear" w:color="auto" w:fill="00677F"/>
            <w:vAlign w:val="center"/>
          </w:tcPr>
          <w:p w14:paraId="0EF7FACA" w14:textId="78D85DD3" w:rsidR="008949C2" w:rsidRPr="004758A5" w:rsidRDefault="008949C2" w:rsidP="00A60C4D">
            <w:pPr>
              <w:pStyle w:val="TableHeading"/>
            </w:pPr>
            <w:r w:rsidRPr="004758A5">
              <w:t>Design WQCV (cu</w:t>
            </w:r>
            <w:r w:rsidR="00A60C4D" w:rsidRPr="004758A5">
              <w:t> </w:t>
            </w:r>
            <w:r w:rsidRPr="004758A5">
              <w:t>ft) or Qwq (cfs)</w:t>
            </w:r>
          </w:p>
        </w:tc>
        <w:tc>
          <w:tcPr>
            <w:tcW w:w="1800" w:type="dxa"/>
            <w:tcBorders>
              <w:left w:val="single" w:sz="4" w:space="0" w:color="425563" w:themeColor="accent1"/>
            </w:tcBorders>
            <w:shd w:val="clear" w:color="auto" w:fill="00677F"/>
            <w:vAlign w:val="center"/>
          </w:tcPr>
          <w:p w14:paraId="4318AD49" w14:textId="09A9BAA3" w:rsidR="008949C2" w:rsidRPr="004758A5" w:rsidRDefault="008949C2" w:rsidP="00A60C4D">
            <w:pPr>
              <w:pStyle w:val="TableHeading"/>
            </w:pPr>
            <w:r w:rsidRPr="004758A5">
              <w:t>WQCV (cu ft) or Qwq (cfs) Provided</w:t>
            </w:r>
          </w:p>
        </w:tc>
      </w:tr>
      <w:tr w:rsidR="008949C2" w:rsidRPr="004758A5" w14:paraId="473E9F7F" w14:textId="24BC91D4" w:rsidTr="00A60C4D">
        <w:tc>
          <w:tcPr>
            <w:tcW w:w="1620" w:type="dxa"/>
            <w:vAlign w:val="center"/>
          </w:tcPr>
          <w:p w14:paraId="34055CE6" w14:textId="49D5B109" w:rsidR="008949C2" w:rsidRPr="004758A5" w:rsidRDefault="008949C2" w:rsidP="007D0002">
            <w:pPr>
              <w:pStyle w:val="TableText"/>
            </w:pPr>
          </w:p>
        </w:tc>
        <w:tc>
          <w:tcPr>
            <w:tcW w:w="1290" w:type="dxa"/>
            <w:vAlign w:val="center"/>
          </w:tcPr>
          <w:p w14:paraId="4CC9A903" w14:textId="49B1ECC9" w:rsidR="008949C2" w:rsidRPr="004758A5" w:rsidRDefault="008949C2" w:rsidP="007D0002">
            <w:pPr>
              <w:pStyle w:val="TableText"/>
              <w:jc w:val="center"/>
            </w:pPr>
          </w:p>
        </w:tc>
        <w:tc>
          <w:tcPr>
            <w:tcW w:w="1545" w:type="dxa"/>
            <w:vAlign w:val="center"/>
          </w:tcPr>
          <w:p w14:paraId="6F65C08A" w14:textId="3988A1BF" w:rsidR="008949C2" w:rsidRPr="004758A5" w:rsidRDefault="008949C2" w:rsidP="007D0002">
            <w:pPr>
              <w:pStyle w:val="TableText"/>
              <w:jc w:val="center"/>
            </w:pPr>
          </w:p>
        </w:tc>
        <w:tc>
          <w:tcPr>
            <w:tcW w:w="1545" w:type="dxa"/>
            <w:tcBorders>
              <w:right w:val="single" w:sz="4" w:space="0" w:color="425563" w:themeColor="accent1"/>
            </w:tcBorders>
            <w:vAlign w:val="center"/>
          </w:tcPr>
          <w:p w14:paraId="2D984FEA" w14:textId="1D28992A" w:rsidR="008949C2" w:rsidRPr="004758A5" w:rsidRDefault="008949C2" w:rsidP="007D0002">
            <w:pPr>
              <w:pStyle w:val="TableText"/>
              <w:jc w:val="center"/>
            </w:pPr>
          </w:p>
        </w:tc>
        <w:tc>
          <w:tcPr>
            <w:tcW w:w="1740" w:type="dxa"/>
            <w:tcBorders>
              <w:left w:val="single" w:sz="4" w:space="0" w:color="425563" w:themeColor="accent1"/>
              <w:right w:val="single" w:sz="4" w:space="0" w:color="425563" w:themeColor="accent1"/>
            </w:tcBorders>
          </w:tcPr>
          <w:p w14:paraId="34974ED4" w14:textId="77777777" w:rsidR="008949C2" w:rsidRPr="004758A5" w:rsidRDefault="008949C2" w:rsidP="007D0002">
            <w:pPr>
              <w:pStyle w:val="TableText"/>
              <w:jc w:val="center"/>
            </w:pPr>
          </w:p>
        </w:tc>
        <w:tc>
          <w:tcPr>
            <w:tcW w:w="1800" w:type="dxa"/>
            <w:tcBorders>
              <w:left w:val="single" w:sz="4" w:space="0" w:color="425563" w:themeColor="accent1"/>
            </w:tcBorders>
          </w:tcPr>
          <w:p w14:paraId="7133305A" w14:textId="77777777" w:rsidR="008949C2" w:rsidRPr="004758A5" w:rsidRDefault="008949C2" w:rsidP="007D0002">
            <w:pPr>
              <w:pStyle w:val="TableText"/>
              <w:jc w:val="center"/>
            </w:pPr>
          </w:p>
        </w:tc>
      </w:tr>
      <w:tr w:rsidR="008949C2" w:rsidRPr="004758A5" w14:paraId="698CF294" w14:textId="53D2F1B1" w:rsidTr="00A60C4D">
        <w:tc>
          <w:tcPr>
            <w:tcW w:w="1620" w:type="dxa"/>
            <w:vAlign w:val="center"/>
          </w:tcPr>
          <w:p w14:paraId="48799CA9" w14:textId="3B06927D" w:rsidR="008949C2" w:rsidRPr="004758A5" w:rsidRDefault="008949C2" w:rsidP="007D0002">
            <w:pPr>
              <w:pStyle w:val="TableText"/>
            </w:pPr>
          </w:p>
        </w:tc>
        <w:tc>
          <w:tcPr>
            <w:tcW w:w="1290" w:type="dxa"/>
            <w:vAlign w:val="center"/>
          </w:tcPr>
          <w:p w14:paraId="7C7BCAD8" w14:textId="75C5A98E" w:rsidR="008949C2" w:rsidRPr="004758A5" w:rsidRDefault="008949C2" w:rsidP="007D0002">
            <w:pPr>
              <w:pStyle w:val="TableText"/>
              <w:jc w:val="center"/>
            </w:pPr>
          </w:p>
        </w:tc>
        <w:tc>
          <w:tcPr>
            <w:tcW w:w="1545" w:type="dxa"/>
            <w:vAlign w:val="center"/>
          </w:tcPr>
          <w:p w14:paraId="3421BD4D" w14:textId="5942E12F" w:rsidR="008949C2" w:rsidRPr="004758A5" w:rsidRDefault="008949C2" w:rsidP="007D0002">
            <w:pPr>
              <w:pStyle w:val="TableText"/>
              <w:jc w:val="center"/>
            </w:pPr>
          </w:p>
        </w:tc>
        <w:tc>
          <w:tcPr>
            <w:tcW w:w="1545" w:type="dxa"/>
            <w:tcBorders>
              <w:right w:val="single" w:sz="4" w:space="0" w:color="425563" w:themeColor="accent1"/>
            </w:tcBorders>
            <w:vAlign w:val="center"/>
          </w:tcPr>
          <w:p w14:paraId="0D67FE21" w14:textId="25F59431" w:rsidR="008949C2" w:rsidRPr="004758A5" w:rsidRDefault="008949C2" w:rsidP="007D0002">
            <w:pPr>
              <w:pStyle w:val="TableText"/>
              <w:jc w:val="center"/>
            </w:pPr>
          </w:p>
        </w:tc>
        <w:tc>
          <w:tcPr>
            <w:tcW w:w="1740" w:type="dxa"/>
            <w:tcBorders>
              <w:left w:val="single" w:sz="4" w:space="0" w:color="425563" w:themeColor="accent1"/>
              <w:right w:val="single" w:sz="4" w:space="0" w:color="425563" w:themeColor="accent1"/>
            </w:tcBorders>
          </w:tcPr>
          <w:p w14:paraId="49593CD4" w14:textId="77777777" w:rsidR="008949C2" w:rsidRPr="004758A5" w:rsidRDefault="008949C2" w:rsidP="007D0002">
            <w:pPr>
              <w:pStyle w:val="TableText"/>
              <w:jc w:val="center"/>
            </w:pPr>
          </w:p>
        </w:tc>
        <w:tc>
          <w:tcPr>
            <w:tcW w:w="1800" w:type="dxa"/>
            <w:tcBorders>
              <w:left w:val="single" w:sz="4" w:space="0" w:color="425563" w:themeColor="accent1"/>
            </w:tcBorders>
          </w:tcPr>
          <w:p w14:paraId="5E8EFD06" w14:textId="77777777" w:rsidR="008949C2" w:rsidRPr="004758A5" w:rsidRDefault="008949C2" w:rsidP="007D0002">
            <w:pPr>
              <w:pStyle w:val="TableText"/>
              <w:jc w:val="center"/>
            </w:pPr>
          </w:p>
        </w:tc>
      </w:tr>
    </w:tbl>
    <w:p w14:paraId="61518157" w14:textId="28F2BF66" w:rsidR="0088350B" w:rsidRPr="004758A5" w:rsidRDefault="0088350B" w:rsidP="00544BA2">
      <w:pPr>
        <w:pStyle w:val="Heading4"/>
        <w:spacing w:before="240"/>
      </w:pPr>
      <w:r w:rsidRPr="004758A5">
        <w:t>Calculations</w:t>
      </w:r>
    </w:p>
    <w:p w14:paraId="5D18A96B" w14:textId="75B38033" w:rsidR="008949C2" w:rsidRPr="004758A5" w:rsidRDefault="0088350B" w:rsidP="00FE05EB">
      <w:pPr>
        <w:pStyle w:val="BodyText"/>
      </w:pPr>
      <w:r w:rsidRPr="004758A5">
        <w:t>All calculations for water quality volume and water quality volume discharge rate shall be submitted to the City as part of the site development drainage study. Calculations shall be completed as described herein for the appropriate BMPs. Design criteria specific to the various BMPs shall also be shown in the drainage study (i.e.</w:t>
      </w:r>
      <w:r w:rsidR="00A60C4D" w:rsidRPr="004758A5">
        <w:t>,</w:t>
      </w:r>
      <w:r w:rsidRPr="004758A5">
        <w:t xml:space="preserve"> calculations for drain down and infiltration). </w:t>
      </w:r>
    </w:p>
    <w:p w14:paraId="2371F90C" w14:textId="574969A7" w:rsidR="0088350B" w:rsidRPr="004758A5" w:rsidRDefault="0088350B" w:rsidP="00FE05EB">
      <w:pPr>
        <w:pStyle w:val="BodyText"/>
      </w:pPr>
      <w:r w:rsidRPr="004758A5">
        <w:t xml:space="preserve">When combining stormwater detention with BMPs, the designer shall provide calculations that address both water quality volume and stormwater detention requirements using methodology </w:t>
      </w:r>
      <w:r w:rsidR="00EB3552" w:rsidRPr="004758A5">
        <w:t>found in Chapter</w:t>
      </w:r>
      <w:r w:rsidR="004E756B" w:rsidRPr="004758A5">
        <w:t> </w:t>
      </w:r>
      <w:r w:rsidR="00EB3552" w:rsidRPr="004758A5">
        <w:t>7 of this manual.</w:t>
      </w:r>
      <w:r w:rsidRPr="004758A5">
        <w:t xml:space="preserve"> </w:t>
      </w:r>
    </w:p>
    <w:p w14:paraId="666C1175" w14:textId="36670CED" w:rsidR="0088350B" w:rsidRPr="004758A5" w:rsidRDefault="0088350B" w:rsidP="00FE05EB">
      <w:pPr>
        <w:pStyle w:val="BodyText"/>
      </w:pPr>
      <w:r w:rsidRPr="004758A5">
        <w:t>BMPs shall be clearly shown on the drainage map</w:t>
      </w:r>
      <w:r w:rsidR="004E756B" w:rsidRPr="004758A5">
        <w:t>,</w:t>
      </w:r>
      <w:r w:rsidRPr="004758A5">
        <w:t xml:space="preserve"> along with other stormwater infrastructure and drainage basin boundaries. </w:t>
      </w:r>
    </w:p>
    <w:p w14:paraId="5AE69603" w14:textId="42CBAD0C" w:rsidR="0088350B" w:rsidRPr="004758A5" w:rsidRDefault="0088350B" w:rsidP="00B92501">
      <w:pPr>
        <w:pStyle w:val="Heading4"/>
      </w:pPr>
      <w:r w:rsidRPr="004758A5">
        <w:t>Certification of Permanent BMPs</w:t>
      </w:r>
    </w:p>
    <w:p w14:paraId="5B15C921" w14:textId="2A67B119" w:rsidR="0088350B" w:rsidRPr="004758A5" w:rsidRDefault="0088350B" w:rsidP="00FE05EB">
      <w:pPr>
        <w:pStyle w:val="BodyText"/>
      </w:pPr>
      <w:r w:rsidRPr="004758A5">
        <w:t>Upon completion of a project</w:t>
      </w:r>
      <w:r w:rsidR="004E756B" w:rsidRPr="004758A5">
        <w:t>,</w:t>
      </w:r>
      <w:r w:rsidRPr="004758A5">
        <w:t xml:space="preserve"> the City shall be provided a written certification, by qualified personnel, stating that the completed project is in compliance with the approved Final Drainage Plan. Qualified personnel shall be a professional civil engineer licensed in the State of Nebraska or person(s) under the direct supervision of a professional engineer licensed in the State of Nebraska.</w:t>
      </w:r>
    </w:p>
    <w:p w14:paraId="6DD1E13C" w14:textId="6701CD1E" w:rsidR="0088350B" w:rsidRPr="004758A5" w:rsidRDefault="0088350B" w:rsidP="00FE05EB">
      <w:pPr>
        <w:pStyle w:val="BodyText"/>
      </w:pPr>
      <w:r w:rsidRPr="004758A5">
        <w:t xml:space="preserve">For commercial and industrial construction, certification will be required before a Certificate of Occupancy is granted (unless authorized by the </w:t>
      </w:r>
      <w:r w:rsidR="00EB3552" w:rsidRPr="004758A5">
        <w:t>City</w:t>
      </w:r>
      <w:r w:rsidRPr="004758A5">
        <w:t>). All applicants shall submit “as built” plans certified by a professional engineer licensed in the State of Nebraska</w:t>
      </w:r>
      <w:r w:rsidRPr="004758A5" w:rsidDel="00FA5E6D">
        <w:t xml:space="preserve"> </w:t>
      </w:r>
      <w:r w:rsidRPr="004758A5">
        <w:t>once final construction is completed. A final inspection by the City of all post-construction BMPs shall be required before a Certificate of Occupancy will be issued or any public infrastructure is accepted.</w:t>
      </w:r>
    </w:p>
    <w:p w14:paraId="330FE2CA" w14:textId="7E94E5DF" w:rsidR="0088350B" w:rsidRPr="004758A5" w:rsidRDefault="0088350B" w:rsidP="00B92501">
      <w:pPr>
        <w:pStyle w:val="Heading4"/>
      </w:pPr>
      <w:r w:rsidRPr="004758A5">
        <w:lastRenderedPageBreak/>
        <w:t>Ongoing Inspection and Maintenance of BMPs</w:t>
      </w:r>
    </w:p>
    <w:p w14:paraId="037C2DD6" w14:textId="7AFE3AC9" w:rsidR="0088350B" w:rsidRPr="004758A5" w:rsidRDefault="0088350B" w:rsidP="00FE05EB">
      <w:pPr>
        <w:pStyle w:val="BodyText"/>
      </w:pPr>
      <w:r w:rsidRPr="004758A5">
        <w:t xml:space="preserve">A maintenance agreement will be required by the developer or builder for proposed BMPs. The maintenance agreement shall include provisions that outline regular maintenance activity, and a schedule of periodic inspections by the Owner or Designees. Inspection frequency shall be consistent with the design criteria manual used and generally includes quarterly inspections during the first year of establishment following construction and annually thereafter. </w:t>
      </w:r>
    </w:p>
    <w:p w14:paraId="4DF72509" w14:textId="66072DE1" w:rsidR="0088350B" w:rsidRPr="004758A5" w:rsidRDefault="0088350B" w:rsidP="00FE05EB">
      <w:pPr>
        <w:pStyle w:val="BodyText"/>
      </w:pPr>
      <w:r w:rsidRPr="004758A5">
        <w:t xml:space="preserve">The Owner or Designees providing routine inspections shall document all inspections and maintenance and repair needs to ensure compliance with the requirements of the agreement and the plan. The agreement shall allow access to City personnel for inspection and maintenance should the owner default in their responsibilities with the intent to invoice the owner for said work, if needed. </w:t>
      </w:r>
      <w:r w:rsidR="004E756B" w:rsidRPr="004758A5">
        <w:t>The Owner shall provide the City i</w:t>
      </w:r>
      <w:r w:rsidRPr="004758A5">
        <w:t>nformation about inspections and maintenance upon request.</w:t>
      </w:r>
    </w:p>
    <w:p w14:paraId="1D54B040" w14:textId="279DFE7F" w:rsidR="0088350B" w:rsidRPr="004758A5" w:rsidRDefault="0088350B" w:rsidP="00B92501">
      <w:pPr>
        <w:pStyle w:val="Heading4"/>
      </w:pPr>
      <w:r w:rsidRPr="004758A5">
        <w:t>PCSMP Submittal Checklist</w:t>
      </w:r>
    </w:p>
    <w:p w14:paraId="54FA42E4" w14:textId="1AD364C7" w:rsidR="0088350B" w:rsidRPr="004758A5" w:rsidRDefault="0088350B" w:rsidP="00FE05EB">
      <w:pPr>
        <w:pStyle w:val="BodyText"/>
      </w:pPr>
      <w:r w:rsidRPr="004758A5">
        <w:t xml:space="preserve">A PCSMP checklist shall be submitted with design plans and be recorded by the City with the project record. The PCSMP checklist </w:t>
      </w:r>
      <w:r w:rsidR="008949C2" w:rsidRPr="004758A5">
        <w:t>can be provided by the City and</w:t>
      </w:r>
      <w:r w:rsidRPr="004758A5">
        <w:t xml:space="preserve"> may be used for reference by developers, designers, and builders. </w:t>
      </w:r>
    </w:p>
    <w:p w14:paraId="1FE51526" w14:textId="7EBFEC3E" w:rsidR="0088350B" w:rsidRPr="004758A5" w:rsidRDefault="0088350B" w:rsidP="00985F05">
      <w:pPr>
        <w:pStyle w:val="Heading3"/>
      </w:pPr>
      <w:bookmarkStart w:id="20" w:name="_Toc46841992"/>
      <w:r w:rsidRPr="004758A5">
        <w:t>Off-Site Stormwater Mitigation</w:t>
      </w:r>
      <w:bookmarkEnd w:id="20"/>
    </w:p>
    <w:p w14:paraId="326910FF" w14:textId="62A7FC52" w:rsidR="0088350B" w:rsidRPr="004758A5" w:rsidRDefault="0088350B" w:rsidP="00FE05EB">
      <w:pPr>
        <w:pStyle w:val="BodyText"/>
      </w:pPr>
      <w:r w:rsidRPr="004758A5">
        <w:t>In some cases</w:t>
      </w:r>
      <w:r w:rsidR="008949C2" w:rsidRPr="004758A5">
        <w:t>,</w:t>
      </w:r>
      <w:r w:rsidRPr="004758A5">
        <w:t xml:space="preserve"> it may not be practicable to provide the required treatment within project limits due to various constraints such as site limitations, costs, or other obstacles. If shown by the </w:t>
      </w:r>
      <w:r w:rsidR="004E756B" w:rsidRPr="004758A5">
        <w:t xml:space="preserve">Owner </w:t>
      </w:r>
      <w:r w:rsidRPr="004758A5">
        <w:t xml:space="preserve">that it is not practicable, off-site mitigation may be allowed at the discretion of the City. </w:t>
      </w:r>
    </w:p>
    <w:p w14:paraId="2D7C291B" w14:textId="1A308028" w:rsidR="0083736E" w:rsidRPr="004758A5" w:rsidRDefault="008949C2" w:rsidP="00544BA2">
      <w:pPr>
        <w:pStyle w:val="BodyText"/>
        <w:spacing w:after="120"/>
      </w:pPr>
      <w:r w:rsidRPr="004758A5">
        <w:t>Offsite</w:t>
      </w:r>
      <w:r w:rsidR="0088350B" w:rsidRPr="004758A5">
        <w:t xml:space="preserve"> mitigation may be provided by a private </w:t>
      </w:r>
      <w:r w:rsidRPr="004758A5">
        <w:t>landowner</w:t>
      </w:r>
      <w:r w:rsidR="0088350B" w:rsidRPr="004758A5">
        <w:t xml:space="preserve"> in a City-approved stormwater treatment facility or within a City-approved publicly owned stormwater treatment facility provided the proposed mitigation location meets the following minimum </w:t>
      </w:r>
      <w:r w:rsidRPr="004758A5">
        <w:t>criteria.</w:t>
      </w:r>
    </w:p>
    <w:p w14:paraId="24FAC9C6" w14:textId="77777777" w:rsidR="0088350B" w:rsidRPr="004758A5" w:rsidRDefault="0088350B" w:rsidP="004E756B">
      <w:pPr>
        <w:pStyle w:val="ReportBullet1"/>
        <w:spacing w:after="60"/>
      </w:pPr>
      <w:r w:rsidRPr="004758A5">
        <w:t>A drainage study confirms that the proposed mitigation location provides excess stormwater treatment that is not required to provide treatment for the drainage area.</w:t>
      </w:r>
    </w:p>
    <w:p w14:paraId="441B6801" w14:textId="77777777" w:rsidR="0088350B" w:rsidRPr="004758A5" w:rsidRDefault="0088350B" w:rsidP="004E756B">
      <w:pPr>
        <w:pStyle w:val="ReportBullet1"/>
        <w:spacing w:after="60"/>
      </w:pPr>
      <w:r w:rsidRPr="004758A5">
        <w:t>The excess treatment capacity in the proposed mitigation location is not already providing mitigation of required stormwater treatment for another development or redevelopment project.</w:t>
      </w:r>
    </w:p>
    <w:p w14:paraId="6A71B53E" w14:textId="226C27C5" w:rsidR="0088350B" w:rsidRPr="004758A5" w:rsidRDefault="0088350B" w:rsidP="00FE05EB">
      <w:pPr>
        <w:pStyle w:val="ReportBullet1LAST"/>
      </w:pPr>
      <w:r w:rsidRPr="004758A5">
        <w:t>The owner of the proposed mitigation location maintains or enters into a maintenance agreement that shall be binding on all subsequent owners and includes all required inspection and maintenance requirements for stormwater treatment practices.</w:t>
      </w:r>
    </w:p>
    <w:p w14:paraId="27430549" w14:textId="39478DD9" w:rsidR="0088350B" w:rsidRPr="004758A5" w:rsidRDefault="00B92501" w:rsidP="00FE05EB">
      <w:pPr>
        <w:pStyle w:val="BodyText"/>
      </w:pPr>
      <w:r w:rsidRPr="004758A5">
        <w:t>Offsite mitigation requires additional documentation, tracking of water quality debits/credits and an additional fee structure to fund any available BMPs. For these reasons offsite mitigation may or may not be available so the City should be consulted to determine if offsite mitigation is available.</w:t>
      </w:r>
    </w:p>
    <w:p w14:paraId="7C707EA9" w14:textId="28E71CCB" w:rsidR="00CE2040" w:rsidRPr="004758A5" w:rsidRDefault="00CE2040" w:rsidP="00F024C0">
      <w:pPr>
        <w:pStyle w:val="Heading2"/>
      </w:pPr>
      <w:bookmarkStart w:id="21" w:name="_Toc46841993"/>
      <w:r w:rsidRPr="004758A5">
        <w:t>Post-Construction Stormwater BMPs</w:t>
      </w:r>
      <w:bookmarkEnd w:id="21"/>
    </w:p>
    <w:p w14:paraId="13088FE4" w14:textId="4019198A" w:rsidR="0088350B" w:rsidRPr="004758A5" w:rsidRDefault="0088350B" w:rsidP="00544BA2">
      <w:pPr>
        <w:pStyle w:val="BodyText"/>
        <w:spacing w:after="120"/>
      </w:pPr>
      <w:r w:rsidRPr="004758A5">
        <w:t xml:space="preserve">BMPs shall be designed using an approved design guidance manual that provides minimum design criteria and considerations. A selection of regional design guides </w:t>
      </w:r>
      <w:r w:rsidR="00B92501" w:rsidRPr="004758A5">
        <w:t>is</w:t>
      </w:r>
      <w:r w:rsidRPr="004758A5">
        <w:t xml:space="preserve"> recommended for design within </w:t>
      </w:r>
      <w:r w:rsidR="00B92501" w:rsidRPr="004758A5">
        <w:t>the City</w:t>
      </w:r>
      <w:r w:rsidRPr="004758A5">
        <w:t>. The most recent versions of the following design guides and manuals are approved for general use in the design of BMPs:</w:t>
      </w:r>
    </w:p>
    <w:p w14:paraId="4A84EA08" w14:textId="77777777" w:rsidR="0088350B" w:rsidRPr="004758A5" w:rsidRDefault="0088350B" w:rsidP="004E756B">
      <w:pPr>
        <w:pStyle w:val="ReportBullet1"/>
        <w:spacing w:after="60"/>
      </w:pPr>
      <w:r w:rsidRPr="004758A5">
        <w:t>City of Omaha, “Omaha Regional Stormwater Design Manual – Chapter 8: Stormwater Best Management Practices”</w:t>
      </w:r>
    </w:p>
    <w:p w14:paraId="68130454" w14:textId="77777777" w:rsidR="0088350B" w:rsidRPr="004758A5" w:rsidRDefault="0088350B" w:rsidP="004E756B">
      <w:pPr>
        <w:pStyle w:val="ReportBullet1"/>
        <w:spacing w:after="60"/>
      </w:pPr>
      <w:r w:rsidRPr="004758A5">
        <w:t>City of Lincoln, “Drainage Criteria Manual - Chapter 8: Stormwater Best Management Practices”</w:t>
      </w:r>
    </w:p>
    <w:p w14:paraId="3C99F909" w14:textId="77777777" w:rsidR="0088350B" w:rsidRPr="004758A5" w:rsidRDefault="0088350B" w:rsidP="004E756B">
      <w:pPr>
        <w:pStyle w:val="ReportBullet1"/>
        <w:spacing w:after="60"/>
      </w:pPr>
      <w:r w:rsidRPr="004758A5">
        <w:lastRenderedPageBreak/>
        <w:t>NDOR, “Drainage and Erosion Control Manual – Chapter 3: Stormwater Treatment within MS4 Communities”</w:t>
      </w:r>
    </w:p>
    <w:p w14:paraId="79F3A509" w14:textId="43B5A107" w:rsidR="0088350B" w:rsidRPr="004758A5" w:rsidRDefault="00345CDD" w:rsidP="00FE05EB">
      <w:pPr>
        <w:pStyle w:val="ReportBullet1LAST"/>
      </w:pPr>
      <w:r w:rsidRPr="004758A5">
        <w:t>Mile High Flood District (formerly Urban Drainage and Flood Control District)</w:t>
      </w:r>
      <w:r w:rsidR="0088350B" w:rsidRPr="004758A5">
        <w:t xml:space="preserve">, “Urban Storm Drainage Criteria </w:t>
      </w:r>
      <w:r w:rsidR="00B92501" w:rsidRPr="004758A5">
        <w:t>Manual, Volume</w:t>
      </w:r>
      <w:r w:rsidR="0088350B" w:rsidRPr="004758A5">
        <w:t xml:space="preserve"> 3: Best Management Practices”</w:t>
      </w:r>
    </w:p>
    <w:p w14:paraId="130F3126" w14:textId="69595D6C" w:rsidR="0088350B" w:rsidRPr="004758A5" w:rsidRDefault="0088350B" w:rsidP="00FE05EB">
      <w:pPr>
        <w:pStyle w:val="BodyText"/>
      </w:pPr>
      <w:r w:rsidRPr="004758A5">
        <w:t xml:space="preserve">The designer is encouraged to adopt one design guide/manual for use on a project to the extent practicable. Other approved design guides and manuals may be used if design criteria for the desired BMP are not provided in the primary design guide/manual. Any variances from these manuals will require approval of the City. The </w:t>
      </w:r>
      <w:r w:rsidR="00985F05" w:rsidRPr="004758A5">
        <w:t>City</w:t>
      </w:r>
      <w:r w:rsidRPr="004758A5">
        <w:t xml:space="preserve"> may evaluate the suitability of other types of BMPs not referenced in the approved design guides and manuals on a case-by-case basis.</w:t>
      </w:r>
    </w:p>
    <w:p w14:paraId="48DD416A" w14:textId="67AA0C16" w:rsidR="0088350B" w:rsidRPr="004758A5" w:rsidRDefault="0088350B" w:rsidP="00FE05EB">
      <w:pPr>
        <w:pStyle w:val="BodyText"/>
      </w:pPr>
      <w:r w:rsidRPr="004758A5">
        <w:t xml:space="preserve">The designer shall discuss the use of the alternative design guidance manuals </w:t>
      </w:r>
      <w:r w:rsidR="004758A5" w:rsidRPr="004758A5">
        <w:t>before</w:t>
      </w:r>
      <w:r w:rsidRPr="004758A5">
        <w:t xml:space="preserve"> starting design along with any variance in BMP design. The designer shall also discuss other requirements for stormwater management within the </w:t>
      </w:r>
      <w:r w:rsidR="00EB3552" w:rsidRPr="004758A5">
        <w:t>City</w:t>
      </w:r>
      <w:r w:rsidRPr="004758A5">
        <w:t xml:space="preserve"> including the potential need for stormwater detention. Where one manual conflicts with another, the Engineer shall use sound, cost-effective design practices to resolve the issue. The following minimum design standards are provided to help resolve some </w:t>
      </w:r>
      <w:r w:rsidR="004E756B" w:rsidRPr="004758A5">
        <w:t xml:space="preserve">identified </w:t>
      </w:r>
      <w:r w:rsidRPr="004758A5">
        <w:t>conflicts.</w:t>
      </w:r>
    </w:p>
    <w:p w14:paraId="6B236BB4" w14:textId="401DF34E" w:rsidR="0088350B" w:rsidRPr="004758A5" w:rsidRDefault="0088350B" w:rsidP="00985F05">
      <w:pPr>
        <w:pStyle w:val="Heading3"/>
      </w:pPr>
      <w:bookmarkStart w:id="22" w:name="_Toc46841994"/>
      <w:r w:rsidRPr="004758A5">
        <w:t>BMP Selection</w:t>
      </w:r>
      <w:bookmarkEnd w:id="22"/>
    </w:p>
    <w:p w14:paraId="48E7BD52" w14:textId="08D0A3E2" w:rsidR="00544BA2" w:rsidRPr="004758A5" w:rsidRDefault="0088350B" w:rsidP="00FE05EB">
      <w:pPr>
        <w:pStyle w:val="BodyText"/>
      </w:pPr>
      <w:r w:rsidRPr="004758A5">
        <w:t>Each design guidance manual includes a unique selection of BMPs and what is included in one may not be included in another. Furthermore, two manuals may use different names for BMP</w:t>
      </w:r>
      <w:r w:rsidR="004E756B" w:rsidRPr="004758A5">
        <w:t>s</w:t>
      </w:r>
      <w:r w:rsidRPr="004758A5">
        <w:t xml:space="preserve"> with the same or similar function. The function, criteria</w:t>
      </w:r>
      <w:r w:rsidR="004E756B" w:rsidRPr="004758A5">
        <w:t>,</w:t>
      </w:r>
      <w:r w:rsidRPr="004758A5">
        <w:t xml:space="preserve"> and considerations of a specific BMP is what shall be used to determine its use by a design engineer. </w:t>
      </w:r>
      <w:r w:rsidR="004E756B" w:rsidRPr="004758A5">
        <w:fldChar w:fldCharType="begin"/>
      </w:r>
      <w:r w:rsidR="004E756B" w:rsidRPr="004758A5">
        <w:instrText xml:space="preserve"> REF _Ref46411447 \h </w:instrText>
      </w:r>
      <w:r w:rsidR="004E756B" w:rsidRPr="004758A5">
        <w:fldChar w:fldCharType="separate"/>
      </w:r>
      <w:r w:rsidR="004758A5" w:rsidRPr="004758A5">
        <w:t xml:space="preserve">Table </w:t>
      </w:r>
      <w:r w:rsidR="004758A5">
        <w:rPr>
          <w:noProof/>
        </w:rPr>
        <w:t>9</w:t>
      </w:r>
      <w:r w:rsidR="004758A5" w:rsidRPr="004758A5">
        <w:noBreakHyphen/>
      </w:r>
      <w:r w:rsidR="004758A5">
        <w:rPr>
          <w:noProof/>
        </w:rPr>
        <w:t>3</w:t>
      </w:r>
      <w:r w:rsidR="004E756B" w:rsidRPr="004758A5">
        <w:fldChar w:fldCharType="end"/>
      </w:r>
      <w:r w:rsidRPr="004758A5">
        <w:t xml:space="preserve"> provides a general comparison of the types of BMPs included in the approved design guidance manuals.</w:t>
      </w:r>
    </w:p>
    <w:p w14:paraId="4E62BB10" w14:textId="5F49DE96" w:rsidR="00221EA8" w:rsidRPr="004758A5" w:rsidRDefault="0062244F" w:rsidP="0062244F">
      <w:pPr>
        <w:pStyle w:val="TableCaptionTitle"/>
        <w:ind w:left="1440" w:hanging="1440"/>
      </w:pPr>
      <w:bookmarkStart w:id="23" w:name="_Ref46411447"/>
      <w:bookmarkStart w:id="24" w:name="_Toc46842094"/>
      <w:bookmarkStart w:id="25" w:name="_Toc46923982"/>
      <w:r w:rsidRPr="004758A5">
        <w:t xml:space="preserve">Table </w:t>
      </w:r>
      <w:fldSimple w:instr=" STYLEREF 1 \s ">
        <w:r w:rsidR="004758A5">
          <w:rPr>
            <w:noProof/>
          </w:rPr>
          <w:t>9</w:t>
        </w:r>
      </w:fldSimple>
      <w:r w:rsidRPr="004758A5">
        <w:noBreakHyphen/>
      </w:r>
      <w:fldSimple w:instr=" SEQ Table \* ARABIC \s 1 ">
        <w:r w:rsidR="004758A5">
          <w:rPr>
            <w:noProof/>
          </w:rPr>
          <w:t>3</w:t>
        </w:r>
      </w:fldSimple>
      <w:bookmarkEnd w:id="23"/>
      <w:r w:rsidRPr="004758A5">
        <w:t>.</w:t>
      </w:r>
      <w:r w:rsidRPr="004758A5">
        <w:tab/>
      </w:r>
      <w:r w:rsidR="00DB6D5E" w:rsidRPr="004758A5">
        <w:t>BMP</w:t>
      </w:r>
      <w:r w:rsidR="00221EA8" w:rsidRPr="004758A5">
        <w:t xml:space="preserve"> Design Guidance for Various Regulatory Agencies</w:t>
      </w:r>
      <w:bookmarkEnd w:id="24"/>
      <w:bookmarkEnd w:id="25"/>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1426"/>
        <w:gridCol w:w="1427"/>
        <w:gridCol w:w="1426"/>
        <w:gridCol w:w="1427"/>
      </w:tblGrid>
      <w:tr w:rsidR="00221EA8" w:rsidRPr="004758A5" w14:paraId="0DC75A54" w14:textId="77777777" w:rsidTr="004E756B">
        <w:trPr>
          <w:trHeight w:hRule="exact" w:val="432"/>
          <w:tblHeader/>
        </w:trPr>
        <w:tc>
          <w:tcPr>
            <w:tcW w:w="3834" w:type="dxa"/>
            <w:tcBorders>
              <w:bottom w:val="single" w:sz="4" w:space="0" w:color="425563" w:themeColor="accent1"/>
              <w:right w:val="single" w:sz="4" w:space="0" w:color="425563" w:themeColor="accent1"/>
            </w:tcBorders>
            <w:shd w:val="clear" w:color="auto" w:fill="00677F"/>
            <w:vAlign w:val="center"/>
            <w:hideMark/>
          </w:tcPr>
          <w:p w14:paraId="3CAF420F" w14:textId="16D3C994" w:rsidR="00221EA8" w:rsidRPr="004758A5" w:rsidRDefault="00DB6D5E" w:rsidP="00EB3552">
            <w:pPr>
              <w:pStyle w:val="TableHeading"/>
            </w:pPr>
            <w:r w:rsidRPr="004758A5">
              <w:t>BMP</w:t>
            </w:r>
            <w:r w:rsidR="00221EA8" w:rsidRPr="004758A5">
              <w:t xml:space="preserve"> Type</w:t>
            </w:r>
          </w:p>
        </w:tc>
        <w:tc>
          <w:tcPr>
            <w:tcW w:w="1426" w:type="dxa"/>
            <w:tcBorders>
              <w:left w:val="single" w:sz="4" w:space="0" w:color="425563" w:themeColor="accent1"/>
              <w:bottom w:val="single" w:sz="4" w:space="0" w:color="425563" w:themeColor="accent1"/>
              <w:right w:val="single" w:sz="4" w:space="0" w:color="425563" w:themeColor="accent1"/>
            </w:tcBorders>
            <w:shd w:val="clear" w:color="auto" w:fill="00677F"/>
            <w:vAlign w:val="center"/>
            <w:hideMark/>
          </w:tcPr>
          <w:p w14:paraId="2A860CD9" w14:textId="77777777" w:rsidR="00221EA8" w:rsidRPr="004758A5" w:rsidRDefault="00221EA8" w:rsidP="00EB3552">
            <w:pPr>
              <w:pStyle w:val="TableHeading"/>
            </w:pPr>
            <w:r w:rsidRPr="004758A5">
              <w:t>Omaha</w:t>
            </w:r>
          </w:p>
        </w:tc>
        <w:tc>
          <w:tcPr>
            <w:tcW w:w="1427" w:type="dxa"/>
            <w:tcBorders>
              <w:left w:val="single" w:sz="4" w:space="0" w:color="425563" w:themeColor="accent1"/>
              <w:bottom w:val="single" w:sz="4" w:space="0" w:color="425563" w:themeColor="accent1"/>
              <w:right w:val="single" w:sz="4" w:space="0" w:color="425563" w:themeColor="accent1"/>
            </w:tcBorders>
            <w:shd w:val="clear" w:color="auto" w:fill="00677F"/>
            <w:vAlign w:val="center"/>
            <w:hideMark/>
          </w:tcPr>
          <w:p w14:paraId="73A79AAD" w14:textId="77777777" w:rsidR="00221EA8" w:rsidRPr="004758A5" w:rsidRDefault="00221EA8" w:rsidP="00EB3552">
            <w:pPr>
              <w:pStyle w:val="TableHeading"/>
            </w:pPr>
            <w:r w:rsidRPr="004758A5">
              <w:t>Lincoln</w:t>
            </w:r>
          </w:p>
        </w:tc>
        <w:tc>
          <w:tcPr>
            <w:tcW w:w="1426" w:type="dxa"/>
            <w:tcBorders>
              <w:left w:val="single" w:sz="4" w:space="0" w:color="425563" w:themeColor="accent1"/>
              <w:bottom w:val="single" w:sz="4" w:space="0" w:color="425563" w:themeColor="accent1"/>
              <w:right w:val="single" w:sz="4" w:space="0" w:color="425563" w:themeColor="accent1"/>
            </w:tcBorders>
            <w:shd w:val="clear" w:color="auto" w:fill="00677F"/>
            <w:vAlign w:val="center"/>
            <w:hideMark/>
          </w:tcPr>
          <w:p w14:paraId="7FE5C160" w14:textId="77777777" w:rsidR="00221EA8" w:rsidRPr="004758A5" w:rsidRDefault="00221EA8" w:rsidP="00EB3552">
            <w:pPr>
              <w:pStyle w:val="TableHeading"/>
            </w:pPr>
            <w:r w:rsidRPr="004758A5">
              <w:t>NDOR</w:t>
            </w:r>
          </w:p>
        </w:tc>
        <w:tc>
          <w:tcPr>
            <w:tcW w:w="1427" w:type="dxa"/>
            <w:tcBorders>
              <w:left w:val="single" w:sz="4" w:space="0" w:color="425563" w:themeColor="accent1"/>
              <w:bottom w:val="single" w:sz="4" w:space="0" w:color="425563" w:themeColor="accent1"/>
            </w:tcBorders>
            <w:shd w:val="clear" w:color="auto" w:fill="00677F"/>
            <w:vAlign w:val="center"/>
            <w:hideMark/>
          </w:tcPr>
          <w:p w14:paraId="2C387AAF" w14:textId="77777777" w:rsidR="00221EA8" w:rsidRPr="004758A5" w:rsidRDefault="00221EA8" w:rsidP="00EB3552">
            <w:pPr>
              <w:pStyle w:val="TableHeading"/>
            </w:pPr>
            <w:r w:rsidRPr="004758A5">
              <w:t>UDFCD</w:t>
            </w:r>
          </w:p>
        </w:tc>
      </w:tr>
      <w:tr w:rsidR="00221EA8" w:rsidRPr="004758A5" w14:paraId="06C4F8BE" w14:textId="77777777" w:rsidTr="004E756B">
        <w:trPr>
          <w:trHeight w:hRule="exact" w:val="370"/>
        </w:trPr>
        <w:tc>
          <w:tcPr>
            <w:tcW w:w="3834" w:type="dxa"/>
            <w:tcBorders>
              <w:top w:val="single" w:sz="4" w:space="0" w:color="425563" w:themeColor="accent1"/>
              <w:bottom w:val="single" w:sz="4" w:space="0" w:color="425563" w:themeColor="accent1"/>
              <w:right w:val="single" w:sz="4" w:space="0" w:color="425563" w:themeColor="accent1"/>
            </w:tcBorders>
            <w:hideMark/>
          </w:tcPr>
          <w:p w14:paraId="33E0F852" w14:textId="77777777" w:rsidR="00221EA8" w:rsidRPr="004758A5" w:rsidRDefault="00221EA8" w:rsidP="0062244F">
            <w:pPr>
              <w:pStyle w:val="TableText"/>
              <w:ind w:left="-15"/>
            </w:pPr>
            <w:r w:rsidRPr="004758A5">
              <w:t>Vegetated Filter Strip</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58A33748"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088CA8AA" w14:textId="77777777" w:rsidR="00221EA8" w:rsidRPr="004758A5" w:rsidRDefault="00221EA8" w:rsidP="00EB3552">
            <w:pPr>
              <w:pStyle w:val="TableText"/>
              <w:ind w:left="-15"/>
              <w:jc w:val="center"/>
            </w:pP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172F3DA1"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tcBorders>
            <w:hideMark/>
          </w:tcPr>
          <w:p w14:paraId="0A5C01FD" w14:textId="77777777" w:rsidR="00221EA8" w:rsidRPr="004758A5" w:rsidRDefault="00221EA8" w:rsidP="00EB3552">
            <w:pPr>
              <w:pStyle w:val="TableText"/>
              <w:ind w:left="-15"/>
              <w:jc w:val="center"/>
            </w:pPr>
            <w:r w:rsidRPr="004758A5">
              <w:t>X</w:t>
            </w:r>
          </w:p>
        </w:tc>
      </w:tr>
      <w:tr w:rsidR="00221EA8" w:rsidRPr="004758A5" w14:paraId="46266884" w14:textId="77777777" w:rsidTr="004E756B">
        <w:trPr>
          <w:trHeight w:hRule="exact" w:val="370"/>
        </w:trPr>
        <w:tc>
          <w:tcPr>
            <w:tcW w:w="3834" w:type="dxa"/>
            <w:tcBorders>
              <w:top w:val="single" w:sz="4" w:space="0" w:color="425563" w:themeColor="accent1"/>
              <w:bottom w:val="single" w:sz="4" w:space="0" w:color="425563" w:themeColor="accent1"/>
              <w:right w:val="single" w:sz="4" w:space="0" w:color="425563" w:themeColor="accent1"/>
            </w:tcBorders>
            <w:hideMark/>
          </w:tcPr>
          <w:p w14:paraId="4D873C7B" w14:textId="77777777" w:rsidR="00221EA8" w:rsidRPr="004758A5" w:rsidRDefault="00221EA8" w:rsidP="0062244F">
            <w:pPr>
              <w:pStyle w:val="TableText"/>
              <w:ind w:left="-15"/>
            </w:pPr>
            <w:r w:rsidRPr="004758A5">
              <w:t>Grass Swale</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58282202"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16AD9313" w14:textId="77777777" w:rsidR="00221EA8" w:rsidRPr="004758A5" w:rsidRDefault="00221EA8" w:rsidP="00EB3552">
            <w:pPr>
              <w:pStyle w:val="TableText"/>
              <w:ind w:left="-15"/>
              <w:jc w:val="center"/>
            </w:pP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1BF00C68"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tcBorders>
            <w:hideMark/>
          </w:tcPr>
          <w:p w14:paraId="6318B6B7" w14:textId="77777777" w:rsidR="00221EA8" w:rsidRPr="004758A5" w:rsidRDefault="00221EA8" w:rsidP="00EB3552">
            <w:pPr>
              <w:pStyle w:val="TableText"/>
              <w:ind w:left="-15"/>
              <w:jc w:val="center"/>
            </w:pPr>
            <w:r w:rsidRPr="004758A5">
              <w:t>X</w:t>
            </w:r>
          </w:p>
        </w:tc>
      </w:tr>
      <w:tr w:rsidR="00221EA8" w:rsidRPr="004758A5" w14:paraId="1A3C5CC7" w14:textId="77777777" w:rsidTr="004E756B">
        <w:trPr>
          <w:trHeight w:hRule="exact" w:val="352"/>
        </w:trPr>
        <w:tc>
          <w:tcPr>
            <w:tcW w:w="3834" w:type="dxa"/>
            <w:tcBorders>
              <w:top w:val="single" w:sz="4" w:space="0" w:color="425563" w:themeColor="accent1"/>
              <w:bottom w:val="single" w:sz="4" w:space="0" w:color="425563" w:themeColor="accent1"/>
              <w:right w:val="single" w:sz="4" w:space="0" w:color="425563" w:themeColor="accent1"/>
            </w:tcBorders>
            <w:hideMark/>
          </w:tcPr>
          <w:p w14:paraId="4A846838" w14:textId="77777777" w:rsidR="00221EA8" w:rsidRPr="004758A5" w:rsidRDefault="00221EA8" w:rsidP="0062244F">
            <w:pPr>
              <w:pStyle w:val="TableText"/>
              <w:ind w:left="-15"/>
            </w:pPr>
            <w:r w:rsidRPr="004758A5">
              <w:t>Infiltration Trench</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549F0522" w14:textId="77777777" w:rsidR="00221EA8" w:rsidRPr="004758A5" w:rsidRDefault="00221EA8" w:rsidP="00EB3552">
            <w:pPr>
              <w:pStyle w:val="TableText"/>
              <w:ind w:left="-15"/>
              <w:jc w:val="center"/>
            </w:pP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7394CC8E" w14:textId="77777777" w:rsidR="00221EA8" w:rsidRPr="004758A5" w:rsidRDefault="00221EA8" w:rsidP="00EB3552">
            <w:pPr>
              <w:pStyle w:val="TableText"/>
              <w:ind w:left="-15"/>
              <w:jc w:val="center"/>
            </w:pP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2E78504F"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tcBorders>
            <w:hideMark/>
          </w:tcPr>
          <w:p w14:paraId="58ADAFC1" w14:textId="77777777" w:rsidR="00221EA8" w:rsidRPr="004758A5" w:rsidRDefault="00221EA8" w:rsidP="00EB3552">
            <w:pPr>
              <w:pStyle w:val="TableText"/>
              <w:ind w:left="-15"/>
              <w:jc w:val="center"/>
            </w:pPr>
          </w:p>
        </w:tc>
      </w:tr>
      <w:tr w:rsidR="00221EA8" w:rsidRPr="004758A5" w14:paraId="6FE43FF3" w14:textId="77777777" w:rsidTr="004E756B">
        <w:trPr>
          <w:trHeight w:hRule="exact" w:val="352"/>
        </w:trPr>
        <w:tc>
          <w:tcPr>
            <w:tcW w:w="3834" w:type="dxa"/>
            <w:tcBorders>
              <w:top w:val="single" w:sz="4" w:space="0" w:color="425563" w:themeColor="accent1"/>
              <w:bottom w:val="single" w:sz="4" w:space="0" w:color="425563" w:themeColor="accent1"/>
              <w:right w:val="single" w:sz="4" w:space="0" w:color="425563" w:themeColor="accent1"/>
            </w:tcBorders>
            <w:hideMark/>
          </w:tcPr>
          <w:p w14:paraId="18BFF3B8" w14:textId="77777777" w:rsidR="00221EA8" w:rsidRPr="004758A5" w:rsidRDefault="00221EA8" w:rsidP="0062244F">
            <w:pPr>
              <w:pStyle w:val="TableText"/>
              <w:ind w:left="-15"/>
            </w:pPr>
            <w:r w:rsidRPr="004758A5">
              <w:t>Infiltration Basin</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16F5A0E1" w14:textId="77777777" w:rsidR="00221EA8" w:rsidRPr="004758A5" w:rsidRDefault="00221EA8" w:rsidP="00EB3552">
            <w:pPr>
              <w:pStyle w:val="TableText"/>
              <w:ind w:left="-15"/>
              <w:jc w:val="center"/>
            </w:pP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682992B4" w14:textId="77777777" w:rsidR="00221EA8" w:rsidRPr="004758A5" w:rsidRDefault="00221EA8" w:rsidP="00EB3552">
            <w:pPr>
              <w:pStyle w:val="TableText"/>
              <w:ind w:left="-15"/>
              <w:jc w:val="center"/>
            </w:pP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1DEE01B9"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tcBorders>
            <w:hideMark/>
          </w:tcPr>
          <w:p w14:paraId="4EC4D320" w14:textId="77777777" w:rsidR="00221EA8" w:rsidRPr="004758A5" w:rsidRDefault="00221EA8" w:rsidP="00EB3552">
            <w:pPr>
              <w:pStyle w:val="TableText"/>
              <w:ind w:left="-15"/>
              <w:jc w:val="center"/>
            </w:pPr>
          </w:p>
        </w:tc>
      </w:tr>
      <w:tr w:rsidR="00221EA8" w:rsidRPr="004758A5" w14:paraId="6129AD71" w14:textId="77777777" w:rsidTr="004E756B">
        <w:trPr>
          <w:trHeight w:hRule="exact" w:val="370"/>
        </w:trPr>
        <w:tc>
          <w:tcPr>
            <w:tcW w:w="3834" w:type="dxa"/>
            <w:tcBorders>
              <w:top w:val="single" w:sz="4" w:space="0" w:color="425563" w:themeColor="accent1"/>
              <w:bottom w:val="single" w:sz="4" w:space="0" w:color="425563" w:themeColor="accent1"/>
              <w:right w:val="single" w:sz="4" w:space="0" w:color="425563" w:themeColor="accent1"/>
            </w:tcBorders>
            <w:hideMark/>
          </w:tcPr>
          <w:p w14:paraId="22763880" w14:textId="77777777" w:rsidR="00221EA8" w:rsidRPr="004758A5" w:rsidRDefault="00221EA8" w:rsidP="0062244F">
            <w:pPr>
              <w:pStyle w:val="TableText"/>
              <w:ind w:left="-15"/>
            </w:pPr>
            <w:r w:rsidRPr="004758A5">
              <w:t>Bioretention Basin</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2C625DA5"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54AF3FEF" w14:textId="77777777" w:rsidR="00221EA8" w:rsidRPr="004758A5" w:rsidRDefault="00221EA8" w:rsidP="00EB3552">
            <w:pPr>
              <w:pStyle w:val="TableText"/>
              <w:ind w:left="-15"/>
              <w:jc w:val="center"/>
            </w:pPr>
            <w:r w:rsidRPr="004758A5">
              <w:t>X</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6234881E" w14:textId="77777777" w:rsidR="00221EA8" w:rsidRPr="004758A5" w:rsidRDefault="00221EA8" w:rsidP="00A7241C">
            <w:pPr>
              <w:jc w:val="center"/>
              <w:rPr>
                <w:sz w:val="20"/>
              </w:rPr>
            </w:pPr>
            <w:r w:rsidRPr="004758A5">
              <w:rPr>
                <w:sz w:val="20"/>
              </w:rPr>
              <w:t>X</w:t>
            </w:r>
          </w:p>
        </w:tc>
        <w:tc>
          <w:tcPr>
            <w:tcW w:w="1427" w:type="dxa"/>
            <w:tcBorders>
              <w:top w:val="single" w:sz="4" w:space="0" w:color="425563" w:themeColor="accent1"/>
              <w:left w:val="single" w:sz="4" w:space="0" w:color="425563" w:themeColor="accent1"/>
              <w:bottom w:val="single" w:sz="4" w:space="0" w:color="425563" w:themeColor="accent1"/>
            </w:tcBorders>
            <w:hideMark/>
          </w:tcPr>
          <w:p w14:paraId="1456CE01" w14:textId="77777777" w:rsidR="00221EA8" w:rsidRPr="004758A5" w:rsidRDefault="00221EA8" w:rsidP="00A7241C">
            <w:pPr>
              <w:jc w:val="center"/>
              <w:rPr>
                <w:sz w:val="20"/>
              </w:rPr>
            </w:pPr>
            <w:r w:rsidRPr="004758A5">
              <w:rPr>
                <w:sz w:val="20"/>
              </w:rPr>
              <w:t>X</w:t>
            </w:r>
          </w:p>
        </w:tc>
      </w:tr>
      <w:tr w:rsidR="00221EA8" w:rsidRPr="004758A5" w14:paraId="575157AB" w14:textId="77777777" w:rsidTr="004E756B">
        <w:trPr>
          <w:trHeight w:hRule="exact" w:val="352"/>
        </w:trPr>
        <w:tc>
          <w:tcPr>
            <w:tcW w:w="3834" w:type="dxa"/>
            <w:tcBorders>
              <w:top w:val="single" w:sz="4" w:space="0" w:color="425563" w:themeColor="accent1"/>
              <w:bottom w:val="single" w:sz="4" w:space="0" w:color="425563" w:themeColor="accent1"/>
              <w:right w:val="single" w:sz="4" w:space="0" w:color="425563" w:themeColor="accent1"/>
            </w:tcBorders>
            <w:hideMark/>
          </w:tcPr>
          <w:p w14:paraId="16EFA0EB" w14:textId="77777777" w:rsidR="00221EA8" w:rsidRPr="004758A5" w:rsidRDefault="00221EA8" w:rsidP="0062244F">
            <w:pPr>
              <w:pStyle w:val="TableText"/>
              <w:ind w:left="-15"/>
            </w:pPr>
            <w:r w:rsidRPr="004758A5">
              <w:t>Media Filter</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01FD1B2F" w14:textId="77777777" w:rsidR="00221EA8" w:rsidRPr="004758A5" w:rsidRDefault="00221EA8" w:rsidP="00EB3552">
            <w:pPr>
              <w:pStyle w:val="TableText"/>
              <w:ind w:left="-15"/>
              <w:jc w:val="center"/>
            </w:pP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66089C4F" w14:textId="77777777" w:rsidR="00221EA8" w:rsidRPr="004758A5" w:rsidRDefault="00221EA8" w:rsidP="00EB3552">
            <w:pPr>
              <w:pStyle w:val="TableText"/>
              <w:ind w:left="-15"/>
              <w:jc w:val="center"/>
            </w:pP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7361726B"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tcBorders>
            <w:hideMark/>
          </w:tcPr>
          <w:p w14:paraId="7C6F5D0B" w14:textId="77777777" w:rsidR="00221EA8" w:rsidRPr="004758A5" w:rsidRDefault="00221EA8" w:rsidP="00EB3552">
            <w:pPr>
              <w:pStyle w:val="TableText"/>
              <w:ind w:left="-15"/>
              <w:jc w:val="center"/>
            </w:pPr>
          </w:p>
        </w:tc>
      </w:tr>
      <w:tr w:rsidR="00221EA8" w:rsidRPr="004758A5" w14:paraId="1791E6A3" w14:textId="77777777" w:rsidTr="004E756B">
        <w:trPr>
          <w:trHeight w:hRule="exact" w:val="370"/>
        </w:trPr>
        <w:tc>
          <w:tcPr>
            <w:tcW w:w="3834" w:type="dxa"/>
            <w:tcBorders>
              <w:top w:val="single" w:sz="4" w:space="0" w:color="425563" w:themeColor="accent1"/>
              <w:bottom w:val="single" w:sz="4" w:space="0" w:color="425563" w:themeColor="accent1"/>
              <w:right w:val="single" w:sz="4" w:space="0" w:color="425563" w:themeColor="accent1"/>
            </w:tcBorders>
            <w:hideMark/>
          </w:tcPr>
          <w:p w14:paraId="669D31E1" w14:textId="77777777" w:rsidR="00221EA8" w:rsidRPr="004758A5" w:rsidRDefault="00221EA8" w:rsidP="0062244F">
            <w:pPr>
              <w:pStyle w:val="TableText"/>
              <w:ind w:left="-15"/>
            </w:pPr>
            <w:r w:rsidRPr="004758A5">
              <w:t>Sand Filter</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378F811F" w14:textId="77777777" w:rsidR="00221EA8" w:rsidRPr="004758A5" w:rsidRDefault="00221EA8" w:rsidP="00EB3552">
            <w:pPr>
              <w:pStyle w:val="TableText"/>
              <w:ind w:left="-15"/>
              <w:jc w:val="center"/>
            </w:pP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175949D2" w14:textId="77777777" w:rsidR="00221EA8" w:rsidRPr="004758A5" w:rsidRDefault="00221EA8" w:rsidP="00EB3552">
            <w:pPr>
              <w:pStyle w:val="TableText"/>
              <w:ind w:left="-15"/>
              <w:jc w:val="center"/>
            </w:pP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5771C2AC" w14:textId="77777777" w:rsidR="00221EA8" w:rsidRPr="004758A5" w:rsidRDefault="00221EA8" w:rsidP="00EB3552">
            <w:pPr>
              <w:pStyle w:val="TableText"/>
              <w:ind w:left="-15"/>
              <w:jc w:val="center"/>
            </w:pPr>
          </w:p>
        </w:tc>
        <w:tc>
          <w:tcPr>
            <w:tcW w:w="1427" w:type="dxa"/>
            <w:tcBorders>
              <w:top w:val="single" w:sz="4" w:space="0" w:color="425563" w:themeColor="accent1"/>
              <w:left w:val="single" w:sz="4" w:space="0" w:color="425563" w:themeColor="accent1"/>
              <w:bottom w:val="single" w:sz="4" w:space="0" w:color="425563" w:themeColor="accent1"/>
            </w:tcBorders>
            <w:hideMark/>
          </w:tcPr>
          <w:p w14:paraId="424621F7" w14:textId="77777777" w:rsidR="00221EA8" w:rsidRPr="004758A5" w:rsidRDefault="00221EA8" w:rsidP="00EB3552">
            <w:pPr>
              <w:pStyle w:val="TableText"/>
              <w:ind w:left="-15"/>
              <w:jc w:val="center"/>
            </w:pPr>
            <w:r w:rsidRPr="004758A5">
              <w:t>X</w:t>
            </w:r>
          </w:p>
        </w:tc>
      </w:tr>
      <w:tr w:rsidR="00221EA8" w:rsidRPr="004758A5" w14:paraId="488ED95F" w14:textId="77777777" w:rsidTr="004E756B">
        <w:trPr>
          <w:trHeight w:hRule="exact" w:val="352"/>
        </w:trPr>
        <w:tc>
          <w:tcPr>
            <w:tcW w:w="3834" w:type="dxa"/>
            <w:tcBorders>
              <w:top w:val="single" w:sz="4" w:space="0" w:color="425563" w:themeColor="accent1"/>
              <w:bottom w:val="single" w:sz="4" w:space="0" w:color="425563" w:themeColor="accent1"/>
              <w:right w:val="single" w:sz="4" w:space="0" w:color="425563" w:themeColor="accent1"/>
            </w:tcBorders>
            <w:hideMark/>
          </w:tcPr>
          <w:p w14:paraId="5349AFE3" w14:textId="77777777" w:rsidR="00221EA8" w:rsidRPr="004758A5" w:rsidRDefault="00221EA8" w:rsidP="0062244F">
            <w:pPr>
              <w:pStyle w:val="TableText"/>
              <w:ind w:left="-15"/>
            </w:pPr>
            <w:r w:rsidRPr="004758A5">
              <w:t>Extended Dry Detention</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4CED8BE7"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501D0119" w14:textId="77777777" w:rsidR="00221EA8" w:rsidRPr="004758A5" w:rsidRDefault="00221EA8" w:rsidP="00EB3552">
            <w:pPr>
              <w:pStyle w:val="TableText"/>
              <w:ind w:left="-15"/>
              <w:jc w:val="center"/>
            </w:pPr>
            <w:r w:rsidRPr="004758A5">
              <w:t>X</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03BFF04E"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tcBorders>
            <w:hideMark/>
          </w:tcPr>
          <w:p w14:paraId="75729A1A" w14:textId="77777777" w:rsidR="00221EA8" w:rsidRPr="004758A5" w:rsidRDefault="00221EA8" w:rsidP="00EB3552">
            <w:pPr>
              <w:pStyle w:val="TableText"/>
              <w:ind w:left="-15"/>
              <w:jc w:val="center"/>
            </w:pPr>
            <w:r w:rsidRPr="004758A5">
              <w:t>X</w:t>
            </w:r>
          </w:p>
        </w:tc>
      </w:tr>
      <w:tr w:rsidR="00221EA8" w:rsidRPr="004758A5" w14:paraId="41E4C0D2" w14:textId="77777777" w:rsidTr="004E756B">
        <w:trPr>
          <w:trHeight w:hRule="exact" w:val="370"/>
        </w:trPr>
        <w:tc>
          <w:tcPr>
            <w:tcW w:w="3834" w:type="dxa"/>
            <w:tcBorders>
              <w:top w:val="single" w:sz="4" w:space="0" w:color="425563" w:themeColor="accent1"/>
              <w:bottom w:val="single" w:sz="4" w:space="0" w:color="425563" w:themeColor="accent1"/>
              <w:right w:val="single" w:sz="4" w:space="0" w:color="425563" w:themeColor="accent1"/>
            </w:tcBorders>
            <w:hideMark/>
          </w:tcPr>
          <w:p w14:paraId="2B35EA27" w14:textId="77777777" w:rsidR="00221EA8" w:rsidRPr="004758A5" w:rsidRDefault="00221EA8" w:rsidP="0062244F">
            <w:pPr>
              <w:pStyle w:val="TableText"/>
              <w:ind w:left="-15"/>
            </w:pPr>
            <w:r w:rsidRPr="004758A5">
              <w:t>Wet Detention Ponds</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4E64AF70"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07AB2A4B" w14:textId="77777777" w:rsidR="00221EA8" w:rsidRPr="004758A5" w:rsidRDefault="00221EA8" w:rsidP="00EB3552">
            <w:pPr>
              <w:pStyle w:val="TableText"/>
              <w:ind w:left="-15"/>
              <w:jc w:val="center"/>
            </w:pPr>
            <w:r w:rsidRPr="004758A5">
              <w:t>X</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4C82211D"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tcBorders>
            <w:hideMark/>
          </w:tcPr>
          <w:p w14:paraId="373D3345" w14:textId="77777777" w:rsidR="00221EA8" w:rsidRPr="004758A5" w:rsidRDefault="00221EA8" w:rsidP="00EB3552">
            <w:pPr>
              <w:pStyle w:val="TableText"/>
              <w:ind w:left="-15"/>
              <w:jc w:val="center"/>
            </w:pPr>
            <w:r w:rsidRPr="004758A5">
              <w:t>X</w:t>
            </w:r>
          </w:p>
        </w:tc>
      </w:tr>
      <w:tr w:rsidR="00221EA8" w:rsidRPr="004758A5" w14:paraId="01093A2D" w14:textId="77777777" w:rsidTr="004E756B">
        <w:trPr>
          <w:trHeight w:hRule="exact" w:val="352"/>
        </w:trPr>
        <w:tc>
          <w:tcPr>
            <w:tcW w:w="3834" w:type="dxa"/>
            <w:tcBorders>
              <w:top w:val="single" w:sz="4" w:space="0" w:color="425563" w:themeColor="accent1"/>
              <w:bottom w:val="single" w:sz="4" w:space="0" w:color="425563" w:themeColor="accent1"/>
              <w:right w:val="single" w:sz="4" w:space="0" w:color="425563" w:themeColor="accent1"/>
            </w:tcBorders>
            <w:hideMark/>
          </w:tcPr>
          <w:p w14:paraId="7FC6218F" w14:textId="77777777" w:rsidR="00221EA8" w:rsidRPr="004758A5" w:rsidRDefault="00221EA8" w:rsidP="0062244F">
            <w:pPr>
              <w:pStyle w:val="TableText"/>
              <w:ind w:left="-15"/>
            </w:pPr>
            <w:r w:rsidRPr="004758A5">
              <w:t>Stormwater Wetland</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6F027304"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4C035B43" w14:textId="77777777" w:rsidR="00221EA8" w:rsidRPr="004758A5" w:rsidRDefault="00221EA8" w:rsidP="00EB3552">
            <w:pPr>
              <w:pStyle w:val="TableText"/>
              <w:ind w:left="-15"/>
              <w:jc w:val="center"/>
            </w:pPr>
            <w:r w:rsidRPr="004758A5">
              <w:t>X</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37D0E817"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tcBorders>
            <w:hideMark/>
          </w:tcPr>
          <w:p w14:paraId="64649085" w14:textId="77777777" w:rsidR="00221EA8" w:rsidRPr="004758A5" w:rsidRDefault="00221EA8" w:rsidP="00EB3552">
            <w:pPr>
              <w:pStyle w:val="TableText"/>
              <w:ind w:left="-15"/>
              <w:jc w:val="center"/>
            </w:pPr>
            <w:r w:rsidRPr="004758A5">
              <w:t>X</w:t>
            </w:r>
          </w:p>
        </w:tc>
      </w:tr>
      <w:tr w:rsidR="00221EA8" w:rsidRPr="004758A5" w14:paraId="5587994C" w14:textId="77777777" w:rsidTr="004E756B">
        <w:trPr>
          <w:trHeight w:hRule="exact" w:val="370"/>
        </w:trPr>
        <w:tc>
          <w:tcPr>
            <w:tcW w:w="3834" w:type="dxa"/>
            <w:tcBorders>
              <w:top w:val="single" w:sz="4" w:space="0" w:color="425563" w:themeColor="accent1"/>
              <w:bottom w:val="single" w:sz="4" w:space="0" w:color="425563" w:themeColor="accent1"/>
              <w:right w:val="single" w:sz="4" w:space="0" w:color="425563" w:themeColor="accent1"/>
            </w:tcBorders>
            <w:hideMark/>
          </w:tcPr>
          <w:p w14:paraId="5A098D7D" w14:textId="77777777" w:rsidR="00221EA8" w:rsidRPr="004758A5" w:rsidRDefault="00221EA8" w:rsidP="0062244F">
            <w:pPr>
              <w:pStyle w:val="TableText"/>
              <w:ind w:left="-15"/>
            </w:pPr>
            <w:r w:rsidRPr="004758A5">
              <w:t>Underground Detention</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3B85D6A5" w14:textId="77777777" w:rsidR="00221EA8" w:rsidRPr="004758A5" w:rsidRDefault="00221EA8" w:rsidP="00EB3552">
            <w:pPr>
              <w:pStyle w:val="TableText"/>
              <w:ind w:left="-15"/>
              <w:jc w:val="center"/>
            </w:pP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18883BE7" w14:textId="77777777" w:rsidR="00221EA8" w:rsidRPr="004758A5" w:rsidRDefault="00221EA8" w:rsidP="00EB3552">
            <w:pPr>
              <w:pStyle w:val="TableText"/>
              <w:ind w:left="-15"/>
              <w:jc w:val="center"/>
            </w:pPr>
            <w:r w:rsidRPr="004758A5">
              <w:t>X</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3D6EDD17" w14:textId="77777777" w:rsidR="00221EA8" w:rsidRPr="004758A5" w:rsidRDefault="00221EA8" w:rsidP="00EB3552">
            <w:pPr>
              <w:pStyle w:val="TableText"/>
              <w:ind w:left="-15"/>
              <w:jc w:val="center"/>
            </w:pPr>
          </w:p>
        </w:tc>
        <w:tc>
          <w:tcPr>
            <w:tcW w:w="1427" w:type="dxa"/>
            <w:tcBorders>
              <w:top w:val="single" w:sz="4" w:space="0" w:color="425563" w:themeColor="accent1"/>
              <w:left w:val="single" w:sz="4" w:space="0" w:color="425563" w:themeColor="accent1"/>
              <w:bottom w:val="single" w:sz="4" w:space="0" w:color="425563" w:themeColor="accent1"/>
            </w:tcBorders>
            <w:hideMark/>
          </w:tcPr>
          <w:p w14:paraId="6124A2D4" w14:textId="77777777" w:rsidR="00221EA8" w:rsidRPr="004758A5" w:rsidRDefault="00221EA8" w:rsidP="00EB3552">
            <w:pPr>
              <w:pStyle w:val="TableText"/>
              <w:ind w:left="-15"/>
              <w:jc w:val="center"/>
            </w:pPr>
            <w:r w:rsidRPr="004758A5">
              <w:t>X</w:t>
            </w:r>
          </w:p>
        </w:tc>
      </w:tr>
      <w:tr w:rsidR="00221EA8" w:rsidRPr="004758A5" w14:paraId="02663268" w14:textId="77777777" w:rsidTr="004E756B">
        <w:trPr>
          <w:trHeight w:hRule="exact" w:val="352"/>
        </w:trPr>
        <w:tc>
          <w:tcPr>
            <w:tcW w:w="3834" w:type="dxa"/>
            <w:tcBorders>
              <w:top w:val="single" w:sz="4" w:space="0" w:color="425563" w:themeColor="accent1"/>
              <w:bottom w:val="single" w:sz="4" w:space="0" w:color="425563" w:themeColor="accent1"/>
              <w:right w:val="single" w:sz="4" w:space="0" w:color="425563" w:themeColor="accent1"/>
            </w:tcBorders>
            <w:hideMark/>
          </w:tcPr>
          <w:p w14:paraId="4E10E33B" w14:textId="77777777" w:rsidR="00221EA8" w:rsidRPr="004758A5" w:rsidRDefault="00221EA8" w:rsidP="0062244F">
            <w:pPr>
              <w:pStyle w:val="TableText"/>
              <w:ind w:left="-15"/>
            </w:pPr>
            <w:r w:rsidRPr="004758A5">
              <w:t>Pervious Pavement</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78EA3A7A"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4CD257AD" w14:textId="77777777" w:rsidR="00221EA8" w:rsidRPr="004758A5" w:rsidRDefault="00221EA8" w:rsidP="00EB3552">
            <w:pPr>
              <w:pStyle w:val="TableText"/>
              <w:ind w:left="-15"/>
              <w:jc w:val="center"/>
            </w:pPr>
            <w:r w:rsidRPr="004758A5">
              <w:t>X</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3C7A5D57"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tcBorders>
            <w:hideMark/>
          </w:tcPr>
          <w:p w14:paraId="3D5BB61C" w14:textId="77777777" w:rsidR="00221EA8" w:rsidRPr="004758A5" w:rsidRDefault="00221EA8" w:rsidP="00EB3552">
            <w:pPr>
              <w:pStyle w:val="TableText"/>
              <w:ind w:left="-15"/>
              <w:jc w:val="center"/>
            </w:pPr>
            <w:r w:rsidRPr="004758A5">
              <w:t>X</w:t>
            </w:r>
          </w:p>
        </w:tc>
      </w:tr>
      <w:tr w:rsidR="00221EA8" w:rsidRPr="004758A5" w14:paraId="6F16D216" w14:textId="77777777" w:rsidTr="004E756B">
        <w:trPr>
          <w:trHeight w:hRule="exact" w:val="352"/>
        </w:trPr>
        <w:tc>
          <w:tcPr>
            <w:tcW w:w="3834" w:type="dxa"/>
            <w:tcBorders>
              <w:top w:val="single" w:sz="4" w:space="0" w:color="425563" w:themeColor="accent1"/>
              <w:bottom w:val="single" w:sz="4" w:space="0" w:color="425563" w:themeColor="accent1"/>
              <w:right w:val="single" w:sz="4" w:space="0" w:color="425563" w:themeColor="accent1"/>
            </w:tcBorders>
            <w:hideMark/>
          </w:tcPr>
          <w:p w14:paraId="25A87847" w14:textId="77777777" w:rsidR="00221EA8" w:rsidRPr="004758A5" w:rsidRDefault="00221EA8" w:rsidP="0062244F">
            <w:pPr>
              <w:pStyle w:val="TableText"/>
              <w:ind w:left="-15"/>
            </w:pPr>
            <w:r w:rsidRPr="004758A5">
              <w:t>Proprietary Structural Treatment Controls</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4B1B13FC"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68DA935F" w14:textId="77777777" w:rsidR="00221EA8" w:rsidRPr="004758A5" w:rsidRDefault="00221EA8" w:rsidP="00EB3552">
            <w:pPr>
              <w:pStyle w:val="TableText"/>
              <w:ind w:left="-15"/>
              <w:jc w:val="center"/>
            </w:pP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245481C6"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tcBorders>
            <w:hideMark/>
          </w:tcPr>
          <w:p w14:paraId="59034FBC" w14:textId="77777777" w:rsidR="00221EA8" w:rsidRPr="004758A5" w:rsidRDefault="00221EA8" w:rsidP="00EB3552">
            <w:pPr>
              <w:pStyle w:val="TableText"/>
              <w:ind w:left="-15"/>
              <w:jc w:val="center"/>
            </w:pPr>
            <w:r w:rsidRPr="004758A5">
              <w:t>X</w:t>
            </w:r>
          </w:p>
        </w:tc>
      </w:tr>
      <w:tr w:rsidR="00221EA8" w:rsidRPr="004758A5" w14:paraId="2F455778" w14:textId="77777777" w:rsidTr="004E756B">
        <w:trPr>
          <w:trHeight w:hRule="exact" w:val="370"/>
        </w:trPr>
        <w:tc>
          <w:tcPr>
            <w:tcW w:w="3834" w:type="dxa"/>
            <w:tcBorders>
              <w:top w:val="single" w:sz="4" w:space="0" w:color="425563" w:themeColor="accent1"/>
              <w:bottom w:val="single" w:sz="4" w:space="0" w:color="425563" w:themeColor="accent1"/>
              <w:right w:val="single" w:sz="4" w:space="0" w:color="425563" w:themeColor="accent1"/>
            </w:tcBorders>
            <w:hideMark/>
          </w:tcPr>
          <w:p w14:paraId="59867A52" w14:textId="77777777" w:rsidR="00221EA8" w:rsidRPr="004758A5" w:rsidRDefault="00221EA8" w:rsidP="0062244F">
            <w:pPr>
              <w:pStyle w:val="TableText"/>
              <w:ind w:left="-15"/>
            </w:pPr>
            <w:r w:rsidRPr="004758A5">
              <w:t>Green Roofs</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170F7E06"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hideMark/>
          </w:tcPr>
          <w:p w14:paraId="486264AD" w14:textId="77777777" w:rsidR="00221EA8" w:rsidRPr="004758A5" w:rsidRDefault="00221EA8" w:rsidP="00EB3552">
            <w:pPr>
              <w:pStyle w:val="TableText"/>
              <w:ind w:left="-15"/>
              <w:jc w:val="center"/>
            </w:pPr>
            <w:r w:rsidRPr="004758A5">
              <w:t>X</w:t>
            </w:r>
          </w:p>
        </w:tc>
        <w:tc>
          <w:tcPr>
            <w:tcW w:w="1426" w:type="dxa"/>
            <w:tcBorders>
              <w:top w:val="single" w:sz="4" w:space="0" w:color="425563" w:themeColor="accent1"/>
              <w:left w:val="single" w:sz="4" w:space="0" w:color="425563" w:themeColor="accent1"/>
              <w:bottom w:val="single" w:sz="4" w:space="0" w:color="425563" w:themeColor="accent1"/>
              <w:right w:val="single" w:sz="4" w:space="0" w:color="425563" w:themeColor="accent1"/>
            </w:tcBorders>
            <w:shd w:val="clear" w:color="auto" w:fill="ECEADC"/>
            <w:hideMark/>
          </w:tcPr>
          <w:p w14:paraId="01BD190B" w14:textId="77777777" w:rsidR="00221EA8" w:rsidRPr="004758A5" w:rsidRDefault="00221EA8" w:rsidP="00EB3552">
            <w:pPr>
              <w:pStyle w:val="TableText"/>
              <w:ind w:left="-15"/>
              <w:jc w:val="center"/>
            </w:pPr>
          </w:p>
        </w:tc>
        <w:tc>
          <w:tcPr>
            <w:tcW w:w="1427" w:type="dxa"/>
            <w:tcBorders>
              <w:top w:val="single" w:sz="4" w:space="0" w:color="425563" w:themeColor="accent1"/>
              <w:left w:val="single" w:sz="4" w:space="0" w:color="425563" w:themeColor="accent1"/>
              <w:bottom w:val="single" w:sz="4" w:space="0" w:color="425563" w:themeColor="accent1"/>
            </w:tcBorders>
            <w:hideMark/>
          </w:tcPr>
          <w:p w14:paraId="4E766674" w14:textId="77777777" w:rsidR="00221EA8" w:rsidRPr="004758A5" w:rsidRDefault="00221EA8" w:rsidP="00EB3552">
            <w:pPr>
              <w:pStyle w:val="TableText"/>
              <w:ind w:left="-15"/>
              <w:jc w:val="center"/>
            </w:pPr>
            <w:r w:rsidRPr="004758A5">
              <w:t>X</w:t>
            </w:r>
          </w:p>
        </w:tc>
      </w:tr>
      <w:tr w:rsidR="00221EA8" w:rsidRPr="004758A5" w14:paraId="665389E9" w14:textId="77777777" w:rsidTr="004E756B">
        <w:trPr>
          <w:trHeight w:hRule="exact" w:val="352"/>
        </w:trPr>
        <w:tc>
          <w:tcPr>
            <w:tcW w:w="3834" w:type="dxa"/>
            <w:tcBorders>
              <w:top w:val="single" w:sz="4" w:space="0" w:color="425563" w:themeColor="accent1"/>
              <w:bottom w:val="single" w:sz="12" w:space="0" w:color="00677F" w:themeColor="accent3"/>
              <w:right w:val="single" w:sz="4" w:space="0" w:color="425563" w:themeColor="accent1"/>
            </w:tcBorders>
            <w:hideMark/>
          </w:tcPr>
          <w:p w14:paraId="12397395" w14:textId="77777777" w:rsidR="00221EA8" w:rsidRPr="004758A5" w:rsidRDefault="00221EA8" w:rsidP="0062244F">
            <w:pPr>
              <w:pStyle w:val="TableText"/>
              <w:ind w:left="-15"/>
            </w:pPr>
            <w:r w:rsidRPr="004758A5">
              <w:t>Soil Conditioning</w:t>
            </w:r>
          </w:p>
        </w:tc>
        <w:tc>
          <w:tcPr>
            <w:tcW w:w="1426" w:type="dxa"/>
            <w:tcBorders>
              <w:top w:val="single" w:sz="4" w:space="0" w:color="425563" w:themeColor="accent1"/>
              <w:left w:val="single" w:sz="4" w:space="0" w:color="425563" w:themeColor="accent1"/>
              <w:bottom w:val="single" w:sz="12" w:space="0" w:color="00677F" w:themeColor="accent3"/>
              <w:right w:val="single" w:sz="4" w:space="0" w:color="425563" w:themeColor="accent1"/>
            </w:tcBorders>
            <w:shd w:val="clear" w:color="auto" w:fill="ECEADC"/>
            <w:hideMark/>
          </w:tcPr>
          <w:p w14:paraId="4113DE91" w14:textId="77777777" w:rsidR="00221EA8" w:rsidRPr="004758A5" w:rsidRDefault="00221EA8" w:rsidP="00EB3552">
            <w:pPr>
              <w:pStyle w:val="TableText"/>
              <w:ind w:left="-15"/>
              <w:jc w:val="center"/>
            </w:pPr>
            <w:r w:rsidRPr="004758A5">
              <w:t>X</w:t>
            </w:r>
          </w:p>
        </w:tc>
        <w:tc>
          <w:tcPr>
            <w:tcW w:w="1427" w:type="dxa"/>
            <w:tcBorders>
              <w:top w:val="single" w:sz="4" w:space="0" w:color="425563" w:themeColor="accent1"/>
              <w:left w:val="single" w:sz="4" w:space="0" w:color="425563" w:themeColor="accent1"/>
              <w:bottom w:val="single" w:sz="12" w:space="0" w:color="00677F" w:themeColor="accent3"/>
              <w:right w:val="single" w:sz="4" w:space="0" w:color="425563" w:themeColor="accent1"/>
            </w:tcBorders>
            <w:hideMark/>
          </w:tcPr>
          <w:p w14:paraId="324E266F" w14:textId="77777777" w:rsidR="00221EA8" w:rsidRPr="004758A5" w:rsidRDefault="00221EA8" w:rsidP="00A7241C">
            <w:pPr>
              <w:jc w:val="center"/>
            </w:pPr>
          </w:p>
        </w:tc>
        <w:tc>
          <w:tcPr>
            <w:tcW w:w="1426" w:type="dxa"/>
            <w:tcBorders>
              <w:top w:val="single" w:sz="4" w:space="0" w:color="425563" w:themeColor="accent1"/>
              <w:left w:val="single" w:sz="4" w:space="0" w:color="425563" w:themeColor="accent1"/>
              <w:bottom w:val="single" w:sz="12" w:space="0" w:color="00677F" w:themeColor="accent3"/>
              <w:right w:val="single" w:sz="4" w:space="0" w:color="425563" w:themeColor="accent1"/>
            </w:tcBorders>
            <w:shd w:val="clear" w:color="auto" w:fill="ECEADC"/>
            <w:hideMark/>
          </w:tcPr>
          <w:p w14:paraId="7B254E48" w14:textId="77777777" w:rsidR="00221EA8" w:rsidRPr="004758A5" w:rsidRDefault="00221EA8" w:rsidP="00A7241C">
            <w:pPr>
              <w:jc w:val="center"/>
            </w:pPr>
          </w:p>
        </w:tc>
        <w:tc>
          <w:tcPr>
            <w:tcW w:w="1427" w:type="dxa"/>
            <w:tcBorders>
              <w:top w:val="single" w:sz="4" w:space="0" w:color="425563" w:themeColor="accent1"/>
              <w:left w:val="single" w:sz="4" w:space="0" w:color="425563" w:themeColor="accent1"/>
              <w:bottom w:val="single" w:sz="12" w:space="0" w:color="00677F" w:themeColor="accent3"/>
            </w:tcBorders>
            <w:hideMark/>
          </w:tcPr>
          <w:p w14:paraId="613917D1" w14:textId="77777777" w:rsidR="00221EA8" w:rsidRPr="004758A5" w:rsidRDefault="00221EA8" w:rsidP="00A7241C">
            <w:pPr>
              <w:jc w:val="center"/>
            </w:pPr>
          </w:p>
        </w:tc>
      </w:tr>
      <w:tr w:rsidR="00544BA2" w:rsidRPr="004758A5" w14:paraId="050CBD1F" w14:textId="77777777" w:rsidTr="004E756B">
        <w:trPr>
          <w:trHeight w:hRule="exact" w:val="576"/>
        </w:trPr>
        <w:tc>
          <w:tcPr>
            <w:tcW w:w="9540" w:type="dxa"/>
            <w:gridSpan w:val="5"/>
            <w:tcBorders>
              <w:top w:val="single" w:sz="12" w:space="0" w:color="00677F" w:themeColor="accent3"/>
            </w:tcBorders>
          </w:tcPr>
          <w:p w14:paraId="35EAA019" w14:textId="71EBA8ED" w:rsidR="00544BA2" w:rsidRPr="004758A5" w:rsidRDefault="00544BA2" w:rsidP="00544BA2">
            <w:pPr>
              <w:pStyle w:val="TableText"/>
              <w:spacing w:after="120"/>
              <w:rPr>
                <w:b/>
                <w:bCs/>
              </w:rPr>
            </w:pPr>
            <w:r w:rsidRPr="004758A5">
              <w:rPr>
                <w:b/>
                <w:bCs/>
              </w:rPr>
              <w:t xml:space="preserve">NOTE: </w:t>
            </w:r>
            <w:r w:rsidRPr="004758A5">
              <w:t>All BMPs must be sized using WQCV or Qwq design criteria provided in Section 9.4 of this Chapter.</w:t>
            </w:r>
          </w:p>
        </w:tc>
      </w:tr>
    </w:tbl>
    <w:p w14:paraId="14B5EFAA" w14:textId="72939AE0" w:rsidR="0088350B" w:rsidRPr="004758A5" w:rsidRDefault="0088350B" w:rsidP="00B92501">
      <w:pPr>
        <w:pStyle w:val="Heading2"/>
      </w:pPr>
      <w:bookmarkStart w:id="26" w:name="_Toc46841995"/>
      <w:r w:rsidRPr="004758A5">
        <w:lastRenderedPageBreak/>
        <w:t>Maintenance of Controls</w:t>
      </w:r>
      <w:bookmarkEnd w:id="26"/>
    </w:p>
    <w:p w14:paraId="22B81810" w14:textId="3FF233BE" w:rsidR="0088350B" w:rsidRPr="004758A5" w:rsidRDefault="0088350B" w:rsidP="00FE05EB">
      <w:pPr>
        <w:pStyle w:val="BodyText"/>
      </w:pPr>
      <w:r w:rsidRPr="004758A5">
        <w:t xml:space="preserve">BMPs located on private property shall be owned and operated by the owner(s) of the property on which the BMP is located; unless the City agrees in writing that a person or entity other than the </w:t>
      </w:r>
      <w:r w:rsidR="004758A5" w:rsidRPr="004758A5">
        <w:t xml:space="preserve">Owner </w:t>
      </w:r>
      <w:r w:rsidRPr="004758A5">
        <w:t xml:space="preserve">shall own or operate such BMP. As a condition of approval of the BMP, the </w:t>
      </w:r>
      <w:r w:rsidR="004758A5" w:rsidRPr="004758A5">
        <w:t xml:space="preserve">Owner </w:t>
      </w:r>
      <w:r w:rsidRPr="004758A5">
        <w:t>shall also maintain the BMP in perpetuity to its design capacity unless or until the City shall relieve the property owner of that responsibility in writing. The obligation to maintain the BMP shall have been memorialized on a subdivision plat, annexation plat, development agreement, subdivision agreement</w:t>
      </w:r>
      <w:r w:rsidR="004758A5" w:rsidRPr="004758A5">
        <w:t>,</w:t>
      </w:r>
      <w:r w:rsidRPr="004758A5">
        <w:t xml:space="preserve"> or other form acceptable to the City and recorded by the City with the project records.</w:t>
      </w:r>
    </w:p>
    <w:p w14:paraId="55400C5F" w14:textId="7E2A2EE7" w:rsidR="00193855" w:rsidRPr="004758A5" w:rsidRDefault="0088350B" w:rsidP="00FE05EB">
      <w:pPr>
        <w:pStyle w:val="BodyText"/>
      </w:pPr>
      <w:r w:rsidRPr="004758A5">
        <w:t xml:space="preserve">The City shall continue to maintain public storm sewer infrastructure including public BMPs. Each </w:t>
      </w:r>
      <w:r w:rsidR="00B92501" w:rsidRPr="004758A5">
        <w:t>homeowner’s</w:t>
      </w:r>
      <w:r w:rsidRPr="004758A5">
        <w:t xml:space="preserve"> association of a subdivision or individual lot owner shall maintain post-construction BMPs. When </w:t>
      </w:r>
      <w:r w:rsidR="004758A5" w:rsidRPr="004758A5">
        <w:t xml:space="preserve">the City constructs </w:t>
      </w:r>
      <w:r w:rsidRPr="004758A5">
        <w:t>public infrastructure improvements, such as with the widening of a major arterial or other public improvement, the City shall take responsibility for maintenance of the BMP unless otherwise specified in a maintenance agreement.</w:t>
      </w:r>
    </w:p>
    <w:p w14:paraId="27DD37F0" w14:textId="77777777" w:rsidR="00566123" w:rsidRPr="004758A5" w:rsidRDefault="00566123" w:rsidP="00566123">
      <w:pPr>
        <w:pStyle w:val="Heading2"/>
      </w:pPr>
      <w:bookmarkStart w:id="27" w:name="_Toc46841996"/>
      <w:r w:rsidRPr="004758A5">
        <w:t>Landscaping</w:t>
      </w:r>
      <w:bookmarkEnd w:id="27"/>
    </w:p>
    <w:p w14:paraId="6CB7C08F" w14:textId="44019478" w:rsidR="00566123" w:rsidRPr="004758A5" w:rsidRDefault="00566123" w:rsidP="00FE05EB">
      <w:pPr>
        <w:pStyle w:val="BodyText"/>
      </w:pPr>
      <w:r w:rsidRPr="004758A5">
        <w:t>The following resources have been provided to assist in the design of landscaping for a project. It is strongly suggested that a landscape architect or designer assist with plant selection and landscape design.</w:t>
      </w:r>
    </w:p>
    <w:p w14:paraId="60632E00" w14:textId="28B99CDE" w:rsidR="00566123" w:rsidRPr="004758A5" w:rsidRDefault="00C262B2" w:rsidP="0083736E">
      <w:pPr>
        <w:pStyle w:val="ReportBullet1"/>
      </w:pPr>
      <w:r w:rsidRPr="004758A5">
        <w:t xml:space="preserve">UNL </w:t>
      </w:r>
      <w:r w:rsidR="00566123" w:rsidRPr="004758A5">
        <w:t xml:space="preserve">Extension, </w:t>
      </w:r>
      <w:r w:rsidR="00566123" w:rsidRPr="004758A5">
        <w:rPr>
          <w:i/>
        </w:rPr>
        <w:t>Stormwater Management: Plant Selection for Rain Gardens in Nebraska</w:t>
      </w:r>
    </w:p>
    <w:p w14:paraId="1255A096" w14:textId="18DAC3EF" w:rsidR="00566123" w:rsidRPr="004758A5" w:rsidRDefault="00566123" w:rsidP="0083736E">
      <w:pPr>
        <w:pStyle w:val="ReportBullet1"/>
      </w:pPr>
      <w:r w:rsidRPr="004758A5">
        <w:t xml:space="preserve">UNL Extension, </w:t>
      </w:r>
      <w:r w:rsidRPr="004758A5">
        <w:rPr>
          <w:i/>
        </w:rPr>
        <w:t>Nebraska Bioretention and Rain Garden Plants Guide</w:t>
      </w:r>
    </w:p>
    <w:p w14:paraId="2F494F01" w14:textId="175E016B" w:rsidR="00566123" w:rsidRPr="004758A5" w:rsidRDefault="00566123" w:rsidP="0083736E">
      <w:pPr>
        <w:pStyle w:val="ReportBullet1"/>
      </w:pPr>
      <w:r w:rsidRPr="004758A5">
        <w:t xml:space="preserve">NDOR, </w:t>
      </w:r>
      <w:r w:rsidRPr="004758A5">
        <w:rPr>
          <w:i/>
        </w:rPr>
        <w:t>Plan for the Roadside Environment</w:t>
      </w:r>
    </w:p>
    <w:p w14:paraId="2A68A4D1" w14:textId="13E9653C" w:rsidR="00566123" w:rsidRPr="004758A5" w:rsidRDefault="00566123" w:rsidP="0083736E">
      <w:pPr>
        <w:pStyle w:val="ReportBullet1"/>
      </w:pPr>
      <w:r w:rsidRPr="004758A5">
        <w:t xml:space="preserve">NDOR, </w:t>
      </w:r>
      <w:r w:rsidRPr="004758A5">
        <w:rPr>
          <w:i/>
        </w:rPr>
        <w:t>Roadside Flowers and Grasses</w:t>
      </w:r>
    </w:p>
    <w:p w14:paraId="0B87BC66" w14:textId="4939938A" w:rsidR="00566123" w:rsidRPr="004758A5" w:rsidRDefault="00566123" w:rsidP="0083736E">
      <w:pPr>
        <w:pStyle w:val="ReportBullet1"/>
      </w:pPr>
      <w:r w:rsidRPr="004758A5">
        <w:t xml:space="preserve">NDOR, </w:t>
      </w:r>
      <w:r w:rsidRPr="004758A5">
        <w:rPr>
          <w:i/>
        </w:rPr>
        <w:t>Roadside Vegetation Establishment and Maintenance</w:t>
      </w:r>
    </w:p>
    <w:p w14:paraId="47C7014E" w14:textId="6F98D642" w:rsidR="00566123" w:rsidRPr="004758A5" w:rsidRDefault="00566123" w:rsidP="00FE05EB">
      <w:pPr>
        <w:pStyle w:val="ReportBullet1LAST"/>
      </w:pPr>
      <w:r w:rsidRPr="004758A5">
        <w:t>Nebraska Statewide Arboretum, Fall 2008</w:t>
      </w:r>
      <w:r w:rsidR="00F35985" w:rsidRPr="004758A5">
        <w:t xml:space="preserve">. </w:t>
      </w:r>
      <w:r w:rsidR="00F35985" w:rsidRPr="004758A5">
        <w:rPr>
          <w:i/>
        </w:rPr>
        <w:t>The Seed</w:t>
      </w:r>
    </w:p>
    <w:p w14:paraId="50D8395F" w14:textId="33565E03" w:rsidR="00566123" w:rsidRPr="004758A5" w:rsidRDefault="00566123" w:rsidP="00FE05EB">
      <w:pPr>
        <w:pStyle w:val="BodyText"/>
      </w:pPr>
      <w:r w:rsidRPr="004758A5">
        <w:t xml:space="preserve">These </w:t>
      </w:r>
      <w:r w:rsidR="00F35985" w:rsidRPr="004758A5">
        <w:t>documents</w:t>
      </w:r>
      <w:r w:rsidRPr="004758A5">
        <w:t xml:space="preserve"> may contain other references to sources that may be helpful in plant selection and suitability for use with BMPs. Keep in mind regional difference in your selection of plants</w:t>
      </w:r>
      <w:r w:rsidR="004758A5" w:rsidRPr="004758A5">
        <w:t>,</w:t>
      </w:r>
      <w:r w:rsidRPr="004758A5">
        <w:t xml:space="preserve"> along with differences in soil, light, and moisture within the stormwater BMP itself.</w:t>
      </w:r>
    </w:p>
    <w:p w14:paraId="5C26E696" w14:textId="77777777" w:rsidR="00EB3552" w:rsidRPr="004758A5" w:rsidRDefault="00EB3552" w:rsidP="00EB3552">
      <w:pPr>
        <w:pStyle w:val="Heading2"/>
      </w:pPr>
      <w:bookmarkStart w:id="28" w:name="_Toc46841997"/>
      <w:r w:rsidRPr="004758A5">
        <w:t>References</w:t>
      </w:r>
      <w:bookmarkEnd w:id="28"/>
    </w:p>
    <w:p w14:paraId="634696F6" w14:textId="141152B7" w:rsidR="00EB3552" w:rsidRPr="004758A5" w:rsidRDefault="00EB3552" w:rsidP="00EB3552">
      <w:pPr>
        <w:pStyle w:val="ReportBullet1"/>
      </w:pPr>
      <w:r w:rsidRPr="004758A5">
        <w:t>City of Lincoln Public Works and Utilities Department, 20</w:t>
      </w:r>
      <w:r w:rsidR="00521E34">
        <w:t>14</w:t>
      </w:r>
      <w:r w:rsidRPr="004758A5">
        <w:t xml:space="preserve">. </w:t>
      </w:r>
      <w:r w:rsidRPr="004758A5">
        <w:rPr>
          <w:i/>
        </w:rPr>
        <w:t>Drainage Criteria Manual.</w:t>
      </w:r>
    </w:p>
    <w:p w14:paraId="6697B346" w14:textId="5E37FD8A" w:rsidR="00EB3552" w:rsidRPr="004758A5" w:rsidRDefault="00EB3552" w:rsidP="00C262B2">
      <w:pPr>
        <w:pStyle w:val="ReportBullet1"/>
      </w:pPr>
      <w:r w:rsidRPr="004758A5">
        <w:t xml:space="preserve">City of Omaha Environmental Quality Control Division, 2014. </w:t>
      </w:r>
      <w:r w:rsidRPr="004758A5">
        <w:rPr>
          <w:i/>
        </w:rPr>
        <w:t>Omaha Regional Stormwater Design Manual.</w:t>
      </w:r>
    </w:p>
    <w:p w14:paraId="25067458" w14:textId="65D32DDC" w:rsidR="00C262B2" w:rsidRPr="004758A5" w:rsidRDefault="00C262B2" w:rsidP="00C262B2">
      <w:pPr>
        <w:pStyle w:val="ReportBullet1"/>
      </w:pPr>
      <w:r w:rsidRPr="004758A5">
        <w:t xml:space="preserve">Iowa </w:t>
      </w:r>
      <w:r w:rsidR="00F35985" w:rsidRPr="004758A5">
        <w:t>Department of Natural Resources</w:t>
      </w:r>
      <w:r w:rsidRPr="004758A5">
        <w:t xml:space="preserve">, </w:t>
      </w:r>
      <w:r w:rsidR="00F35985" w:rsidRPr="004758A5">
        <w:t>2009</w:t>
      </w:r>
      <w:r w:rsidRPr="004758A5">
        <w:t xml:space="preserve">. </w:t>
      </w:r>
      <w:r w:rsidR="00F35985" w:rsidRPr="004758A5">
        <w:rPr>
          <w:i/>
        </w:rPr>
        <w:t>Iowa Storm Water Management Manual</w:t>
      </w:r>
      <w:r w:rsidRPr="004758A5">
        <w:rPr>
          <w:i/>
        </w:rPr>
        <w:t>.</w:t>
      </w:r>
    </w:p>
    <w:p w14:paraId="492A121A" w14:textId="1BDE7FF8" w:rsidR="00C262B2" w:rsidRPr="004758A5" w:rsidRDefault="00C262B2" w:rsidP="00EB3552">
      <w:pPr>
        <w:pStyle w:val="ReportBullet1"/>
      </w:pPr>
      <w:r w:rsidRPr="004758A5">
        <w:t>Nebraska H</w:t>
      </w:r>
      <w:r w:rsidRPr="004758A5">
        <w:rPr>
          <w:vertAlign w:val="subscript"/>
        </w:rPr>
        <w:t>2</w:t>
      </w:r>
      <w:r w:rsidRPr="004758A5">
        <w:t xml:space="preserve">O, 2015. </w:t>
      </w:r>
      <w:r w:rsidRPr="004758A5">
        <w:rPr>
          <w:i/>
        </w:rPr>
        <w:t>Final Post-Construction Stormwater Program Design Standards and Procedures Memorandum.</w:t>
      </w:r>
    </w:p>
    <w:p w14:paraId="1B8DD59F" w14:textId="77777777" w:rsidR="00C262B2" w:rsidRPr="004758A5" w:rsidRDefault="00C262B2" w:rsidP="00FE05EB">
      <w:pPr>
        <w:pStyle w:val="ReportBullet1LAST"/>
      </w:pPr>
      <w:r w:rsidRPr="004758A5">
        <w:t xml:space="preserve">Mile High Flood District (formerly Urban Drainage and Flood Control District), 2016. </w:t>
      </w:r>
      <w:r w:rsidRPr="004758A5">
        <w:rPr>
          <w:i/>
          <w:iCs/>
        </w:rPr>
        <w:t>Urban Storm Drainage Criteria Manual.</w:t>
      </w:r>
    </w:p>
    <w:sectPr w:rsidR="00C262B2" w:rsidRPr="004758A5" w:rsidSect="0013562A">
      <w:footerReference w:type="default" r:id="rId8"/>
      <w:pgSz w:w="12240" w:h="15840"/>
      <w:pgMar w:top="1440" w:right="1440" w:bottom="1440" w:left="1440" w:header="720" w:footer="720" w:gutter="0"/>
      <w:pgNumType w:start="10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305E2" w14:textId="77777777" w:rsidR="007B3281" w:rsidRDefault="007B3281" w:rsidP="0043372E">
      <w:r>
        <w:separator/>
      </w:r>
    </w:p>
  </w:endnote>
  <w:endnote w:type="continuationSeparator" w:id="0">
    <w:p w14:paraId="0005550B" w14:textId="77777777" w:rsidR="007B3281" w:rsidRDefault="007B3281" w:rsidP="0043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C0C5" w14:textId="77777777" w:rsidR="00B25584" w:rsidRDefault="00B25584" w:rsidP="007A14BB">
    <w:pPr>
      <w:pStyle w:val="Footer"/>
      <w:tabs>
        <w:tab w:val="clear" w:pos="4680"/>
      </w:tabs>
      <w:spacing w:before="120"/>
    </w:pPr>
    <w:r>
      <w:tab/>
    </w:r>
    <w:r w:rsidR="00F65261">
      <w:t>Page</w:t>
    </w:r>
    <w:r>
      <w:t xml:space="preserve"> </w:t>
    </w:r>
    <w:r w:rsidR="00F65261">
      <w:fldChar w:fldCharType="begin"/>
    </w:r>
    <w:r w:rsidR="00F65261">
      <w:instrText xml:space="preserve"> PAGE  \* Arabic  \* MERGEFORMAT </w:instrText>
    </w:r>
    <w:r w:rsidR="00F65261">
      <w:fldChar w:fldCharType="separate"/>
    </w:r>
    <w:r w:rsidR="00F65261">
      <w:rPr>
        <w:noProof/>
      </w:rPr>
      <w:t>1</w:t>
    </w:r>
    <w:r w:rsidR="00F652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BFB92" w14:textId="77777777" w:rsidR="007B3281" w:rsidRDefault="007B3281" w:rsidP="0043372E">
      <w:r>
        <w:separator/>
      </w:r>
    </w:p>
  </w:footnote>
  <w:footnote w:type="continuationSeparator" w:id="0">
    <w:p w14:paraId="0D1D8DC4" w14:textId="77777777" w:rsidR="007B3281" w:rsidRDefault="007B3281" w:rsidP="0043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177"/>
    <w:multiLevelType w:val="hybridMultilevel"/>
    <w:tmpl w:val="BD46D2F2"/>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AE933A3"/>
    <w:multiLevelType w:val="hybridMultilevel"/>
    <w:tmpl w:val="738E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A18"/>
    <w:multiLevelType w:val="hybridMultilevel"/>
    <w:tmpl w:val="6A20D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64B68"/>
    <w:multiLevelType w:val="hybridMultilevel"/>
    <w:tmpl w:val="76A2B70E"/>
    <w:lvl w:ilvl="0" w:tplc="1542014C">
      <w:start w:val="1"/>
      <w:numFmt w:val="bullet"/>
      <w:pStyle w:val="TableBullet"/>
      <w:lvlText w:val=""/>
      <w:lvlJc w:val="left"/>
      <w:pPr>
        <w:ind w:left="720" w:hanging="360"/>
      </w:pPr>
      <w:rPr>
        <w:rFonts w:ascii="Symbol" w:hAnsi="Symbol" w:hint="default"/>
        <w:b/>
        <w:color w:val="42556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F16FB"/>
    <w:multiLevelType w:val="hybridMultilevel"/>
    <w:tmpl w:val="B94A02AC"/>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8970164"/>
    <w:multiLevelType w:val="multilevel"/>
    <w:tmpl w:val="5AA017D0"/>
    <w:lvl w:ilvl="0">
      <w:start w:val="1"/>
      <w:numFmt w:val="decimal"/>
      <w:lvlText w:val="%1.0"/>
      <w:lvlJc w:val="left"/>
      <w:pPr>
        <w:ind w:left="720" w:hanging="720"/>
      </w:pPr>
      <w:rPr>
        <w:rFonts w:hint="default"/>
        <w:sz w:val="36"/>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FE30DD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2A37F88"/>
    <w:multiLevelType w:val="hybridMultilevel"/>
    <w:tmpl w:val="9C2A9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16093"/>
    <w:multiLevelType w:val="hybridMultilevel"/>
    <w:tmpl w:val="44A6E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17493"/>
    <w:multiLevelType w:val="hybridMultilevel"/>
    <w:tmpl w:val="F476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73E6E"/>
    <w:multiLevelType w:val="hybridMultilevel"/>
    <w:tmpl w:val="325C766A"/>
    <w:lvl w:ilvl="0" w:tplc="516621D2">
      <w:start w:val="1"/>
      <w:numFmt w:val="bullet"/>
      <w:pStyle w:val="ReportBullet1LAST"/>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F26F2"/>
    <w:multiLevelType w:val="hybridMultilevel"/>
    <w:tmpl w:val="95AC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44E27"/>
    <w:multiLevelType w:val="hybridMultilevel"/>
    <w:tmpl w:val="D2B05052"/>
    <w:lvl w:ilvl="0" w:tplc="E8DE17A4">
      <w:start w:val="1"/>
      <w:numFmt w:val="bullet"/>
      <w:pStyle w:val="ReportBullet2"/>
      <w:lvlText w:val=""/>
      <w:lvlJc w:val="left"/>
      <w:pPr>
        <w:ind w:left="1440" w:hanging="360"/>
      </w:pPr>
      <w:rPr>
        <w:rFonts w:ascii="Symbol" w:hAnsi="Symbol" w:hint="default"/>
        <w:b/>
        <w:color w:val="B15533"/>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BC509D"/>
    <w:multiLevelType w:val="hybridMultilevel"/>
    <w:tmpl w:val="A67A4892"/>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4B3A2452"/>
    <w:multiLevelType w:val="hybridMultilevel"/>
    <w:tmpl w:val="161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24038"/>
    <w:multiLevelType w:val="hybridMultilevel"/>
    <w:tmpl w:val="E1FAEC6C"/>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52653C1A"/>
    <w:multiLevelType w:val="hybridMultilevel"/>
    <w:tmpl w:val="FEAEF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F3EF3"/>
    <w:multiLevelType w:val="hybridMultilevel"/>
    <w:tmpl w:val="7C0A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5035"/>
    <w:multiLevelType w:val="hybridMultilevel"/>
    <w:tmpl w:val="A852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C65A1"/>
    <w:multiLevelType w:val="hybridMultilevel"/>
    <w:tmpl w:val="51E64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B7DE8"/>
    <w:multiLevelType w:val="hybridMultilevel"/>
    <w:tmpl w:val="EE889A94"/>
    <w:lvl w:ilvl="0" w:tplc="ABB245A8">
      <w:start w:val="1"/>
      <w:numFmt w:val="bullet"/>
      <w:pStyle w:val="ReportBullet1"/>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A4278"/>
    <w:multiLevelType w:val="hybridMultilevel"/>
    <w:tmpl w:val="0D14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230E6"/>
    <w:multiLevelType w:val="multilevel"/>
    <w:tmpl w:val="CB30A4B2"/>
    <w:lvl w:ilvl="0">
      <w:start w:val="9"/>
      <w:numFmt w:val="decimal"/>
      <w:pStyle w:val="Heading1"/>
      <w:lvlText w:val="%1."/>
      <w:lvlJc w:val="left"/>
      <w:pPr>
        <w:ind w:left="1008" w:hanging="1008"/>
      </w:pPr>
      <w:rPr>
        <w:rFonts w:hint="default"/>
      </w:rPr>
    </w:lvl>
    <w:lvl w:ilvl="1">
      <w:start w:val="1"/>
      <w:numFmt w:val="decimal"/>
      <w:pStyle w:val="Heading2"/>
      <w:lvlText w:val="%1.%2"/>
      <w:lvlJc w:val="left"/>
      <w:pPr>
        <w:ind w:left="1008" w:hanging="1008"/>
      </w:pPr>
      <w:rPr>
        <w:b/>
        <w:bCs/>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8" w:hanging="1008"/>
      </w:pPr>
      <w:rPr>
        <w:b/>
        <w:bCs/>
        <w:i/>
        <w:iCs/>
        <w:smallCaps w:val="0"/>
        <w:strike w:val="0"/>
        <w:dstrike w:val="0"/>
        <w:outline w:val="0"/>
        <w:shadow w:val="0"/>
        <w:emboss w:val="0"/>
        <w:imprint w:val="0"/>
        <w:noProof w:val="0"/>
        <w:vanish w:val="0"/>
        <w:color w:val="00677F" w:themeColor="accent3"/>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008" w:hanging="1008"/>
      </w:pPr>
      <w:rPr>
        <w:rFonts w:hint="default"/>
      </w:rPr>
    </w:lvl>
    <w:lvl w:ilvl="6">
      <w:start w:val="1"/>
      <w:numFmt w:val="decimal"/>
      <w:pStyle w:val="Heading7"/>
      <w:lvlText w:val="%1.%2.%3.%4.%5.%6.%7"/>
      <w:lvlJc w:val="left"/>
      <w:pPr>
        <w:ind w:left="1008" w:hanging="1008"/>
      </w:pPr>
      <w:rPr>
        <w:rFonts w:hint="default"/>
      </w:rPr>
    </w:lvl>
    <w:lvl w:ilvl="7">
      <w:start w:val="1"/>
      <w:numFmt w:val="decimal"/>
      <w:pStyle w:val="Heading8"/>
      <w:lvlText w:val="%1.%2.%3.%4.%5.%6.%7.%8"/>
      <w:lvlJc w:val="left"/>
      <w:pPr>
        <w:ind w:left="1008" w:hanging="1008"/>
      </w:pPr>
      <w:rPr>
        <w:rFonts w:hint="default"/>
      </w:rPr>
    </w:lvl>
    <w:lvl w:ilvl="8">
      <w:start w:val="1"/>
      <w:numFmt w:val="decimal"/>
      <w:pStyle w:val="Heading9"/>
      <w:lvlText w:val="%1.%2.%3.%4.%5.%6.%7.%8.%9"/>
      <w:lvlJc w:val="left"/>
      <w:pPr>
        <w:ind w:left="1008" w:hanging="1008"/>
      </w:pPr>
      <w:rPr>
        <w:rFonts w:hint="default"/>
      </w:rPr>
    </w:lvl>
  </w:abstractNum>
  <w:abstractNum w:abstractNumId="23" w15:restartNumberingAfterBreak="0">
    <w:nsid w:val="7D2255D9"/>
    <w:multiLevelType w:val="hybridMultilevel"/>
    <w:tmpl w:val="52F6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64E1D"/>
    <w:multiLevelType w:val="hybridMultilevel"/>
    <w:tmpl w:val="DD628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0"/>
  </w:num>
  <w:num w:numId="4">
    <w:abstractNumId w:val="12"/>
  </w:num>
  <w:num w:numId="5">
    <w:abstractNumId w:val="3"/>
  </w:num>
  <w:num w:numId="6">
    <w:abstractNumId w:val="24"/>
  </w:num>
  <w:num w:numId="7">
    <w:abstractNumId w:val="19"/>
  </w:num>
  <w:num w:numId="8">
    <w:abstractNumId w:val="8"/>
  </w:num>
  <w:num w:numId="9">
    <w:abstractNumId w:val="13"/>
  </w:num>
  <w:num w:numId="10">
    <w:abstractNumId w:val="11"/>
  </w:num>
  <w:num w:numId="11">
    <w:abstractNumId w:val="21"/>
  </w:num>
  <w:num w:numId="12">
    <w:abstractNumId w:val="1"/>
  </w:num>
  <w:num w:numId="13">
    <w:abstractNumId w:val="18"/>
  </w:num>
  <w:num w:numId="14">
    <w:abstractNumId w:val="9"/>
  </w:num>
  <w:num w:numId="15">
    <w:abstractNumId w:val="2"/>
  </w:num>
  <w:num w:numId="16">
    <w:abstractNumId w:val="16"/>
  </w:num>
  <w:num w:numId="17">
    <w:abstractNumId w:val="7"/>
  </w:num>
  <w:num w:numId="18">
    <w:abstractNumId w:val="17"/>
  </w:num>
  <w:num w:numId="19">
    <w:abstractNumId w:val="22"/>
  </w:num>
  <w:num w:numId="20">
    <w:abstractNumId w:val="5"/>
  </w:num>
  <w:num w:numId="21">
    <w:abstractNumId w:val="6"/>
  </w:num>
  <w:num w:numId="22">
    <w:abstractNumId w:val="23"/>
  </w:num>
  <w:num w:numId="23">
    <w:abstractNumId w:val="14"/>
  </w:num>
  <w:num w:numId="24">
    <w:abstractNumId w:val="15"/>
  </w:num>
  <w:num w:numId="25">
    <w:abstractNumId w:val="0"/>
  </w:num>
  <w:num w:numId="26">
    <w:abstractNumId w:val="4"/>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9A"/>
    <w:rsid w:val="000001A1"/>
    <w:rsid w:val="00003C69"/>
    <w:rsid w:val="000056FF"/>
    <w:rsid w:val="000100C5"/>
    <w:rsid w:val="00044BCF"/>
    <w:rsid w:val="000552EB"/>
    <w:rsid w:val="000637F5"/>
    <w:rsid w:val="00083909"/>
    <w:rsid w:val="00085CE8"/>
    <w:rsid w:val="000A7E0A"/>
    <w:rsid w:val="000B0429"/>
    <w:rsid w:val="000B3881"/>
    <w:rsid w:val="000D297B"/>
    <w:rsid w:val="000E2232"/>
    <w:rsid w:val="001076DA"/>
    <w:rsid w:val="0013562A"/>
    <w:rsid w:val="001407F8"/>
    <w:rsid w:val="00145129"/>
    <w:rsid w:val="001607B0"/>
    <w:rsid w:val="0016572F"/>
    <w:rsid w:val="0017390A"/>
    <w:rsid w:val="00173FF4"/>
    <w:rsid w:val="00182395"/>
    <w:rsid w:val="00193855"/>
    <w:rsid w:val="001A214C"/>
    <w:rsid w:val="001A3B2E"/>
    <w:rsid w:val="001C6E68"/>
    <w:rsid w:val="001D5AAE"/>
    <w:rsid w:val="001D7115"/>
    <w:rsid w:val="001E6BFC"/>
    <w:rsid w:val="001F7381"/>
    <w:rsid w:val="00207FE6"/>
    <w:rsid w:val="00212318"/>
    <w:rsid w:val="00214DFD"/>
    <w:rsid w:val="00221EA8"/>
    <w:rsid w:val="002225C8"/>
    <w:rsid w:val="00231142"/>
    <w:rsid w:val="00231BBD"/>
    <w:rsid w:val="00234470"/>
    <w:rsid w:val="00247F86"/>
    <w:rsid w:val="00260040"/>
    <w:rsid w:val="00273819"/>
    <w:rsid w:val="00274912"/>
    <w:rsid w:val="00274B2C"/>
    <w:rsid w:val="0027622D"/>
    <w:rsid w:val="00283BC7"/>
    <w:rsid w:val="002A05FB"/>
    <w:rsid w:val="002A26BD"/>
    <w:rsid w:val="002A52BD"/>
    <w:rsid w:val="002A5313"/>
    <w:rsid w:val="002D19D7"/>
    <w:rsid w:val="002D4DE5"/>
    <w:rsid w:val="002F3EBD"/>
    <w:rsid w:val="002F57BD"/>
    <w:rsid w:val="00303FFC"/>
    <w:rsid w:val="00321F48"/>
    <w:rsid w:val="00323106"/>
    <w:rsid w:val="00325F62"/>
    <w:rsid w:val="003425FF"/>
    <w:rsid w:val="00345382"/>
    <w:rsid w:val="00345CDD"/>
    <w:rsid w:val="003512FD"/>
    <w:rsid w:val="00356819"/>
    <w:rsid w:val="00357466"/>
    <w:rsid w:val="00362C4F"/>
    <w:rsid w:val="00362E6E"/>
    <w:rsid w:val="00364CEA"/>
    <w:rsid w:val="00364F8D"/>
    <w:rsid w:val="00377490"/>
    <w:rsid w:val="003777F1"/>
    <w:rsid w:val="003877C9"/>
    <w:rsid w:val="00391D06"/>
    <w:rsid w:val="003A2CD7"/>
    <w:rsid w:val="003A3628"/>
    <w:rsid w:val="003A6BC4"/>
    <w:rsid w:val="003B3C2E"/>
    <w:rsid w:val="003C3EC0"/>
    <w:rsid w:val="003C539F"/>
    <w:rsid w:val="003D2695"/>
    <w:rsid w:val="003D3E46"/>
    <w:rsid w:val="003D7EBA"/>
    <w:rsid w:val="003E57AD"/>
    <w:rsid w:val="003E679A"/>
    <w:rsid w:val="003E7A41"/>
    <w:rsid w:val="003F3C39"/>
    <w:rsid w:val="003F7DF8"/>
    <w:rsid w:val="00415EDE"/>
    <w:rsid w:val="00416DE8"/>
    <w:rsid w:val="00420C74"/>
    <w:rsid w:val="00427786"/>
    <w:rsid w:val="0043372E"/>
    <w:rsid w:val="004437C5"/>
    <w:rsid w:val="004441D3"/>
    <w:rsid w:val="00445D7F"/>
    <w:rsid w:val="004572E2"/>
    <w:rsid w:val="00461F15"/>
    <w:rsid w:val="004627F3"/>
    <w:rsid w:val="004758A5"/>
    <w:rsid w:val="004851ED"/>
    <w:rsid w:val="00487023"/>
    <w:rsid w:val="00487E1F"/>
    <w:rsid w:val="00491A2D"/>
    <w:rsid w:val="00497009"/>
    <w:rsid w:val="004B0D0C"/>
    <w:rsid w:val="004B1FD3"/>
    <w:rsid w:val="004B3620"/>
    <w:rsid w:val="004B6BB8"/>
    <w:rsid w:val="004C5C23"/>
    <w:rsid w:val="004D13BB"/>
    <w:rsid w:val="004E0721"/>
    <w:rsid w:val="004E343C"/>
    <w:rsid w:val="004E756B"/>
    <w:rsid w:val="00505AD1"/>
    <w:rsid w:val="00521E34"/>
    <w:rsid w:val="0053186C"/>
    <w:rsid w:val="0053590F"/>
    <w:rsid w:val="005447E6"/>
    <w:rsid w:val="00544BA2"/>
    <w:rsid w:val="0054544F"/>
    <w:rsid w:val="005463E1"/>
    <w:rsid w:val="005470A3"/>
    <w:rsid w:val="00552084"/>
    <w:rsid w:val="00566123"/>
    <w:rsid w:val="00590BF5"/>
    <w:rsid w:val="00597E55"/>
    <w:rsid w:val="005C6AE7"/>
    <w:rsid w:val="005C7FED"/>
    <w:rsid w:val="005D4162"/>
    <w:rsid w:val="00601E09"/>
    <w:rsid w:val="00602837"/>
    <w:rsid w:val="0060288F"/>
    <w:rsid w:val="00621F10"/>
    <w:rsid w:val="0062244F"/>
    <w:rsid w:val="006336A8"/>
    <w:rsid w:val="00641F13"/>
    <w:rsid w:val="00645396"/>
    <w:rsid w:val="00650C9F"/>
    <w:rsid w:val="00652B27"/>
    <w:rsid w:val="00673439"/>
    <w:rsid w:val="006871F7"/>
    <w:rsid w:val="00687FA2"/>
    <w:rsid w:val="00693978"/>
    <w:rsid w:val="006975EC"/>
    <w:rsid w:val="006A1255"/>
    <w:rsid w:val="006A6D14"/>
    <w:rsid w:val="006B1EDC"/>
    <w:rsid w:val="006B70F7"/>
    <w:rsid w:val="006C0BDF"/>
    <w:rsid w:val="006E4A51"/>
    <w:rsid w:val="006E4FD9"/>
    <w:rsid w:val="006E7EB1"/>
    <w:rsid w:val="006F1F21"/>
    <w:rsid w:val="006F24AB"/>
    <w:rsid w:val="006F29B1"/>
    <w:rsid w:val="00700E96"/>
    <w:rsid w:val="00704CA6"/>
    <w:rsid w:val="0071566A"/>
    <w:rsid w:val="00721057"/>
    <w:rsid w:val="007247CA"/>
    <w:rsid w:val="00731246"/>
    <w:rsid w:val="00740F6D"/>
    <w:rsid w:val="0074701F"/>
    <w:rsid w:val="00754CCD"/>
    <w:rsid w:val="00785135"/>
    <w:rsid w:val="00790F07"/>
    <w:rsid w:val="00792F50"/>
    <w:rsid w:val="007A14BB"/>
    <w:rsid w:val="007A2A02"/>
    <w:rsid w:val="007B3281"/>
    <w:rsid w:val="007C776E"/>
    <w:rsid w:val="007D449D"/>
    <w:rsid w:val="007D7EA9"/>
    <w:rsid w:val="007E3F24"/>
    <w:rsid w:val="007E5CE2"/>
    <w:rsid w:val="007E71FC"/>
    <w:rsid w:val="007F2D09"/>
    <w:rsid w:val="007F63E7"/>
    <w:rsid w:val="00800364"/>
    <w:rsid w:val="00806BB9"/>
    <w:rsid w:val="00810E8D"/>
    <w:rsid w:val="00812C0D"/>
    <w:rsid w:val="00813D8D"/>
    <w:rsid w:val="008140BB"/>
    <w:rsid w:val="008150D5"/>
    <w:rsid w:val="008260C6"/>
    <w:rsid w:val="00835537"/>
    <w:rsid w:val="0083736E"/>
    <w:rsid w:val="00841EE4"/>
    <w:rsid w:val="0084219F"/>
    <w:rsid w:val="00843353"/>
    <w:rsid w:val="00845DAF"/>
    <w:rsid w:val="008467D7"/>
    <w:rsid w:val="008478AE"/>
    <w:rsid w:val="0086482F"/>
    <w:rsid w:val="00867B38"/>
    <w:rsid w:val="00875E70"/>
    <w:rsid w:val="00876F89"/>
    <w:rsid w:val="0088350B"/>
    <w:rsid w:val="00887F28"/>
    <w:rsid w:val="008949C2"/>
    <w:rsid w:val="008A4F7A"/>
    <w:rsid w:val="008B19EF"/>
    <w:rsid w:val="008B6F70"/>
    <w:rsid w:val="008D76C9"/>
    <w:rsid w:val="008E1CD2"/>
    <w:rsid w:val="008F00FD"/>
    <w:rsid w:val="008F2E17"/>
    <w:rsid w:val="00902375"/>
    <w:rsid w:val="00907926"/>
    <w:rsid w:val="009125EE"/>
    <w:rsid w:val="009359E5"/>
    <w:rsid w:val="00946494"/>
    <w:rsid w:val="00956339"/>
    <w:rsid w:val="00956877"/>
    <w:rsid w:val="009716BB"/>
    <w:rsid w:val="00971A5C"/>
    <w:rsid w:val="00973919"/>
    <w:rsid w:val="00977BB9"/>
    <w:rsid w:val="00985F05"/>
    <w:rsid w:val="00986150"/>
    <w:rsid w:val="009951B8"/>
    <w:rsid w:val="009A0ACA"/>
    <w:rsid w:val="009A7698"/>
    <w:rsid w:val="009B0AB1"/>
    <w:rsid w:val="009B21D6"/>
    <w:rsid w:val="009C46DA"/>
    <w:rsid w:val="009C78C0"/>
    <w:rsid w:val="009D5E2B"/>
    <w:rsid w:val="009E37AB"/>
    <w:rsid w:val="009F66A5"/>
    <w:rsid w:val="00A04507"/>
    <w:rsid w:val="00A20404"/>
    <w:rsid w:val="00A33A75"/>
    <w:rsid w:val="00A4035F"/>
    <w:rsid w:val="00A414AF"/>
    <w:rsid w:val="00A50B09"/>
    <w:rsid w:val="00A54226"/>
    <w:rsid w:val="00A54E51"/>
    <w:rsid w:val="00A551BB"/>
    <w:rsid w:val="00A55844"/>
    <w:rsid w:val="00A60C4D"/>
    <w:rsid w:val="00A62885"/>
    <w:rsid w:val="00A802BA"/>
    <w:rsid w:val="00A87B39"/>
    <w:rsid w:val="00A94A5F"/>
    <w:rsid w:val="00AA0EE0"/>
    <w:rsid w:val="00AB13C4"/>
    <w:rsid w:val="00AB476E"/>
    <w:rsid w:val="00AB63B5"/>
    <w:rsid w:val="00AC61BB"/>
    <w:rsid w:val="00AC7B91"/>
    <w:rsid w:val="00AD29F2"/>
    <w:rsid w:val="00AD7248"/>
    <w:rsid w:val="00AF2168"/>
    <w:rsid w:val="00B01176"/>
    <w:rsid w:val="00B04DB2"/>
    <w:rsid w:val="00B063A8"/>
    <w:rsid w:val="00B116A3"/>
    <w:rsid w:val="00B12720"/>
    <w:rsid w:val="00B178F9"/>
    <w:rsid w:val="00B236D6"/>
    <w:rsid w:val="00B25584"/>
    <w:rsid w:val="00B2560E"/>
    <w:rsid w:val="00B33EBF"/>
    <w:rsid w:val="00B372CC"/>
    <w:rsid w:val="00B37929"/>
    <w:rsid w:val="00B37C0F"/>
    <w:rsid w:val="00B65FD9"/>
    <w:rsid w:val="00B71B3E"/>
    <w:rsid w:val="00B7274A"/>
    <w:rsid w:val="00B915B4"/>
    <w:rsid w:val="00B92501"/>
    <w:rsid w:val="00B93412"/>
    <w:rsid w:val="00B9376E"/>
    <w:rsid w:val="00BB4D60"/>
    <w:rsid w:val="00BB653C"/>
    <w:rsid w:val="00BD71A6"/>
    <w:rsid w:val="00BF4258"/>
    <w:rsid w:val="00BF71BE"/>
    <w:rsid w:val="00C12A10"/>
    <w:rsid w:val="00C174C5"/>
    <w:rsid w:val="00C234F6"/>
    <w:rsid w:val="00C262B2"/>
    <w:rsid w:val="00C40DD6"/>
    <w:rsid w:val="00C51E44"/>
    <w:rsid w:val="00C53CD3"/>
    <w:rsid w:val="00C5517E"/>
    <w:rsid w:val="00C764A0"/>
    <w:rsid w:val="00C84AAF"/>
    <w:rsid w:val="00C85E9E"/>
    <w:rsid w:val="00C96B2C"/>
    <w:rsid w:val="00CA1EE8"/>
    <w:rsid w:val="00CA44E7"/>
    <w:rsid w:val="00CA6556"/>
    <w:rsid w:val="00CA6D97"/>
    <w:rsid w:val="00CD0E61"/>
    <w:rsid w:val="00CE0CF0"/>
    <w:rsid w:val="00CE2040"/>
    <w:rsid w:val="00CE41E0"/>
    <w:rsid w:val="00CE6A64"/>
    <w:rsid w:val="00D11BA8"/>
    <w:rsid w:val="00D14CDB"/>
    <w:rsid w:val="00D21AA5"/>
    <w:rsid w:val="00D22201"/>
    <w:rsid w:val="00D26E30"/>
    <w:rsid w:val="00D322B1"/>
    <w:rsid w:val="00D32999"/>
    <w:rsid w:val="00D3594A"/>
    <w:rsid w:val="00D3656D"/>
    <w:rsid w:val="00D47602"/>
    <w:rsid w:val="00D50FBE"/>
    <w:rsid w:val="00D5566A"/>
    <w:rsid w:val="00D55D9A"/>
    <w:rsid w:val="00D56029"/>
    <w:rsid w:val="00D713F6"/>
    <w:rsid w:val="00D72704"/>
    <w:rsid w:val="00D72BE0"/>
    <w:rsid w:val="00D73919"/>
    <w:rsid w:val="00D755F7"/>
    <w:rsid w:val="00D77012"/>
    <w:rsid w:val="00D925E0"/>
    <w:rsid w:val="00DA6E56"/>
    <w:rsid w:val="00DB1B64"/>
    <w:rsid w:val="00DB6D5E"/>
    <w:rsid w:val="00DB727B"/>
    <w:rsid w:val="00DD6FCC"/>
    <w:rsid w:val="00DD76CD"/>
    <w:rsid w:val="00DE2ADE"/>
    <w:rsid w:val="00DE529E"/>
    <w:rsid w:val="00DF1168"/>
    <w:rsid w:val="00E004B0"/>
    <w:rsid w:val="00E076EA"/>
    <w:rsid w:val="00E12E8C"/>
    <w:rsid w:val="00E137D4"/>
    <w:rsid w:val="00E15AB6"/>
    <w:rsid w:val="00E16604"/>
    <w:rsid w:val="00E16789"/>
    <w:rsid w:val="00E244C5"/>
    <w:rsid w:val="00E24F77"/>
    <w:rsid w:val="00E324F8"/>
    <w:rsid w:val="00E35CC2"/>
    <w:rsid w:val="00E5771E"/>
    <w:rsid w:val="00E6228D"/>
    <w:rsid w:val="00E7197A"/>
    <w:rsid w:val="00E75F79"/>
    <w:rsid w:val="00E8686E"/>
    <w:rsid w:val="00E92372"/>
    <w:rsid w:val="00E96841"/>
    <w:rsid w:val="00E975A3"/>
    <w:rsid w:val="00EB3552"/>
    <w:rsid w:val="00EB7DF4"/>
    <w:rsid w:val="00EC32BA"/>
    <w:rsid w:val="00ED06E4"/>
    <w:rsid w:val="00ED7114"/>
    <w:rsid w:val="00ED79F5"/>
    <w:rsid w:val="00EE0A0F"/>
    <w:rsid w:val="00EE160F"/>
    <w:rsid w:val="00EE3235"/>
    <w:rsid w:val="00EF5379"/>
    <w:rsid w:val="00F01EF7"/>
    <w:rsid w:val="00F024C0"/>
    <w:rsid w:val="00F176C4"/>
    <w:rsid w:val="00F35985"/>
    <w:rsid w:val="00F36FDC"/>
    <w:rsid w:val="00F42617"/>
    <w:rsid w:val="00F5047D"/>
    <w:rsid w:val="00F5568D"/>
    <w:rsid w:val="00F60043"/>
    <w:rsid w:val="00F65261"/>
    <w:rsid w:val="00F677FD"/>
    <w:rsid w:val="00F82D3F"/>
    <w:rsid w:val="00F92177"/>
    <w:rsid w:val="00F9674A"/>
    <w:rsid w:val="00FB00BE"/>
    <w:rsid w:val="00FB38C1"/>
    <w:rsid w:val="00FB5A3B"/>
    <w:rsid w:val="00FB670B"/>
    <w:rsid w:val="00FC6F0F"/>
    <w:rsid w:val="00FC7EBF"/>
    <w:rsid w:val="00FD185B"/>
    <w:rsid w:val="00FD3DB2"/>
    <w:rsid w:val="00FD3FE0"/>
    <w:rsid w:val="00FD719F"/>
    <w:rsid w:val="00FE05EB"/>
    <w:rsid w:val="00FE299A"/>
    <w:rsid w:val="00FE4C4A"/>
    <w:rsid w:val="00FF3D6C"/>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667436A"/>
  <w15:chartTrackingRefBased/>
  <w15:docId w15:val="{428D5212-105C-48EF-872F-F0140553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76"/>
    <w:rPr>
      <w:rFonts w:ascii="Gill Sans MT" w:hAnsi="Gill Sans MT"/>
    </w:rPr>
  </w:style>
  <w:style w:type="paragraph" w:styleId="Heading1">
    <w:name w:val="heading 1"/>
    <w:basedOn w:val="Normal"/>
    <w:next w:val="BodyText"/>
    <w:link w:val="Heading1Char"/>
    <w:uiPriority w:val="9"/>
    <w:qFormat/>
    <w:rsid w:val="0053186C"/>
    <w:pPr>
      <w:keepNext/>
      <w:keepLines/>
      <w:numPr>
        <w:numId w:val="1"/>
      </w:numPr>
      <w:spacing w:before="240" w:after="120"/>
      <w:outlineLvl w:val="0"/>
    </w:pPr>
    <w:rPr>
      <w:rFonts w:eastAsiaTheme="majorEastAsia" w:cstheme="majorBidi"/>
      <w:caps/>
      <w:color w:val="425563"/>
      <w:spacing w:val="30"/>
      <w:sz w:val="32"/>
      <w:szCs w:val="32"/>
    </w:rPr>
  </w:style>
  <w:style w:type="paragraph" w:styleId="Heading2">
    <w:name w:val="heading 2"/>
    <w:basedOn w:val="Normal"/>
    <w:next w:val="BodyText"/>
    <w:link w:val="Heading2Char"/>
    <w:uiPriority w:val="9"/>
    <w:unhideWhenUsed/>
    <w:qFormat/>
    <w:rsid w:val="0053186C"/>
    <w:pPr>
      <w:keepNext/>
      <w:keepLines/>
      <w:numPr>
        <w:ilvl w:val="1"/>
        <w:numId w:val="1"/>
      </w:numPr>
      <w:spacing w:before="120" w:after="120"/>
      <w:outlineLvl w:val="1"/>
    </w:pPr>
    <w:rPr>
      <w:rFonts w:eastAsiaTheme="majorEastAsia" w:cstheme="majorBidi"/>
      <w:b/>
      <w:color w:val="005E5D"/>
      <w:spacing w:val="30"/>
      <w:sz w:val="24"/>
      <w:szCs w:val="26"/>
    </w:rPr>
  </w:style>
  <w:style w:type="paragraph" w:styleId="Heading3">
    <w:name w:val="heading 3"/>
    <w:basedOn w:val="Normal"/>
    <w:next w:val="BodyText"/>
    <w:link w:val="Heading3Char"/>
    <w:uiPriority w:val="9"/>
    <w:unhideWhenUsed/>
    <w:qFormat/>
    <w:rsid w:val="009F66A5"/>
    <w:pPr>
      <w:keepNext/>
      <w:keepLines/>
      <w:numPr>
        <w:ilvl w:val="2"/>
        <w:numId w:val="1"/>
      </w:numPr>
      <w:spacing w:before="120" w:after="120"/>
      <w:outlineLvl w:val="2"/>
    </w:pPr>
    <w:rPr>
      <w:rFonts w:eastAsiaTheme="majorEastAsia" w:cstheme="majorBidi"/>
      <w:b/>
      <w:i/>
      <w:color w:val="00677F" w:themeColor="accent3"/>
      <w:spacing w:val="30"/>
      <w:sz w:val="24"/>
      <w:szCs w:val="24"/>
    </w:rPr>
  </w:style>
  <w:style w:type="paragraph" w:styleId="Heading4">
    <w:name w:val="heading 4"/>
    <w:basedOn w:val="Normal"/>
    <w:next w:val="BodyText"/>
    <w:link w:val="Heading4Char"/>
    <w:uiPriority w:val="9"/>
    <w:unhideWhenUsed/>
    <w:qFormat/>
    <w:rsid w:val="00F176C4"/>
    <w:pPr>
      <w:keepNext/>
      <w:keepLines/>
      <w:numPr>
        <w:ilvl w:val="3"/>
        <w:numId w:val="1"/>
      </w:numPr>
      <w:spacing w:before="120" w:after="120"/>
      <w:outlineLvl w:val="3"/>
    </w:pPr>
    <w:rPr>
      <w:rFonts w:eastAsiaTheme="majorEastAsia" w:cstheme="majorBidi"/>
      <w:b/>
      <w:i/>
      <w:iCs/>
      <w:color w:val="B15533"/>
      <w:spacing w:val="30"/>
    </w:rPr>
  </w:style>
  <w:style w:type="paragraph" w:styleId="Heading5">
    <w:name w:val="heading 5"/>
    <w:basedOn w:val="Normal"/>
    <w:next w:val="Normal"/>
    <w:link w:val="Heading5Char"/>
    <w:uiPriority w:val="9"/>
    <w:unhideWhenUsed/>
    <w:qFormat/>
    <w:rsid w:val="00F36FDC"/>
    <w:pPr>
      <w:keepNext/>
      <w:keepLines/>
      <w:numPr>
        <w:ilvl w:val="4"/>
        <w:numId w:val="1"/>
      </w:numPr>
      <w:spacing w:before="40"/>
      <w:outlineLvl w:val="4"/>
    </w:pPr>
    <w:rPr>
      <w:rFonts w:eastAsiaTheme="majorEastAsia" w:cstheme="majorBidi"/>
      <w:color w:val="313F4A" w:themeColor="accent1" w:themeShade="BF"/>
    </w:rPr>
  </w:style>
  <w:style w:type="paragraph" w:styleId="Heading6">
    <w:name w:val="heading 6"/>
    <w:basedOn w:val="Normal"/>
    <w:next w:val="Normal"/>
    <w:link w:val="Heading6Char"/>
    <w:uiPriority w:val="9"/>
    <w:unhideWhenUsed/>
    <w:qFormat/>
    <w:rsid w:val="00F36FDC"/>
    <w:pPr>
      <w:keepNext/>
      <w:keepLines/>
      <w:numPr>
        <w:ilvl w:val="5"/>
        <w:numId w:val="1"/>
      </w:numPr>
      <w:spacing w:before="40"/>
      <w:outlineLvl w:val="5"/>
    </w:pPr>
    <w:rPr>
      <w:rFonts w:eastAsiaTheme="majorEastAsia" w:cstheme="majorBidi"/>
      <w:color w:val="202A31" w:themeColor="accent1" w:themeShade="7F"/>
    </w:rPr>
  </w:style>
  <w:style w:type="paragraph" w:styleId="Heading7">
    <w:name w:val="heading 7"/>
    <w:basedOn w:val="Normal"/>
    <w:next w:val="Normal"/>
    <w:link w:val="Heading7Char"/>
    <w:uiPriority w:val="9"/>
    <w:unhideWhenUsed/>
    <w:qFormat/>
    <w:rsid w:val="00E7197A"/>
    <w:pPr>
      <w:keepNext/>
      <w:keepLines/>
      <w:numPr>
        <w:ilvl w:val="6"/>
        <w:numId w:val="1"/>
      </w:numPr>
      <w:spacing w:before="40"/>
      <w:outlineLvl w:val="6"/>
    </w:pPr>
    <w:rPr>
      <w:rFonts w:asciiTheme="majorHAnsi" w:eastAsiaTheme="majorEastAsia" w:hAnsiTheme="majorHAnsi" w:cstheme="majorBidi"/>
      <w:i/>
      <w:iCs/>
      <w:color w:val="202A31" w:themeColor="accent1" w:themeShade="7F"/>
    </w:rPr>
  </w:style>
  <w:style w:type="paragraph" w:styleId="Heading8">
    <w:name w:val="heading 8"/>
    <w:basedOn w:val="Normal"/>
    <w:next w:val="Normal"/>
    <w:link w:val="Heading8Char"/>
    <w:uiPriority w:val="9"/>
    <w:unhideWhenUsed/>
    <w:qFormat/>
    <w:rsid w:val="00E719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9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ReportName">
    <w:name w:val="Cover Report Name"/>
    <w:basedOn w:val="Normal"/>
    <w:next w:val="BodyText"/>
    <w:qFormat/>
    <w:rsid w:val="00F82D3F"/>
    <w:pPr>
      <w:spacing w:before="180" w:after="240" w:line="259" w:lineRule="auto"/>
      <w:jc w:val="center"/>
    </w:pPr>
    <w:rPr>
      <w:b/>
      <w:caps/>
      <w:spacing w:val="30"/>
      <w:sz w:val="28"/>
    </w:rPr>
  </w:style>
  <w:style w:type="paragraph" w:styleId="BodyText">
    <w:name w:val="Body Text"/>
    <w:basedOn w:val="Normal"/>
    <w:link w:val="BodyTextChar"/>
    <w:uiPriority w:val="99"/>
    <w:unhideWhenUsed/>
    <w:rsid w:val="00F82D3F"/>
    <w:pPr>
      <w:spacing w:after="180"/>
    </w:pPr>
  </w:style>
  <w:style w:type="character" w:customStyle="1" w:styleId="BodyTextChar">
    <w:name w:val="Body Text Char"/>
    <w:basedOn w:val="DefaultParagraphFont"/>
    <w:link w:val="BodyText"/>
    <w:uiPriority w:val="99"/>
    <w:rsid w:val="00F82D3F"/>
    <w:rPr>
      <w:rFonts w:ascii="Gill Sans MT" w:hAnsi="Gill Sans MT"/>
    </w:rPr>
  </w:style>
  <w:style w:type="paragraph" w:customStyle="1" w:styleId="CoverProjectName">
    <w:name w:val="Cover Project Name"/>
    <w:basedOn w:val="Normal"/>
    <w:qFormat/>
    <w:rsid w:val="00F82D3F"/>
    <w:pPr>
      <w:spacing w:after="180"/>
      <w:jc w:val="center"/>
    </w:pPr>
    <w:rPr>
      <w:spacing w:val="30"/>
      <w:sz w:val="24"/>
    </w:rPr>
  </w:style>
  <w:style w:type="paragraph" w:customStyle="1" w:styleId="TableofContentsTitle">
    <w:name w:val="Table of Contents Title"/>
    <w:basedOn w:val="Normal"/>
    <w:next w:val="BodyText"/>
    <w:qFormat/>
    <w:rsid w:val="00E75F79"/>
    <w:pPr>
      <w:spacing w:before="120" w:after="120"/>
    </w:pPr>
    <w:rPr>
      <w:b/>
      <w:caps/>
      <w:color w:val="425563"/>
      <w:spacing w:val="30"/>
      <w:sz w:val="28"/>
    </w:rPr>
  </w:style>
  <w:style w:type="paragraph" w:customStyle="1" w:styleId="FiguresandTablesTitle">
    <w:name w:val="Figures and Tables Title"/>
    <w:basedOn w:val="Normal"/>
    <w:next w:val="BodyText"/>
    <w:rsid w:val="00E75F79"/>
    <w:pPr>
      <w:spacing w:before="120" w:after="120"/>
    </w:pPr>
    <w:rPr>
      <w:b/>
      <w:color w:val="425563"/>
      <w:spacing w:val="30"/>
      <w:sz w:val="26"/>
    </w:rPr>
  </w:style>
  <w:style w:type="paragraph" w:customStyle="1" w:styleId="ReportBullet1">
    <w:name w:val="Report Bullet 1"/>
    <w:basedOn w:val="Normal"/>
    <w:qFormat/>
    <w:rsid w:val="00B25584"/>
    <w:pPr>
      <w:numPr>
        <w:numId w:val="2"/>
      </w:numPr>
      <w:spacing w:after="80"/>
    </w:pPr>
  </w:style>
  <w:style w:type="paragraph" w:customStyle="1" w:styleId="ReportBullet2">
    <w:name w:val="Report Bullet 2"/>
    <w:basedOn w:val="Normal"/>
    <w:qFormat/>
    <w:rsid w:val="00B25584"/>
    <w:pPr>
      <w:numPr>
        <w:numId w:val="4"/>
      </w:numPr>
      <w:spacing w:after="80"/>
      <w:ind w:left="1080"/>
    </w:pPr>
  </w:style>
  <w:style w:type="paragraph" w:customStyle="1" w:styleId="ReportBullet1LAST">
    <w:name w:val="Report Bullet 1 LAST"/>
    <w:basedOn w:val="Normal"/>
    <w:next w:val="BodyText"/>
    <w:qFormat/>
    <w:rsid w:val="00F82D3F"/>
    <w:pPr>
      <w:numPr>
        <w:numId w:val="3"/>
      </w:numPr>
      <w:spacing w:after="180"/>
    </w:pPr>
  </w:style>
  <w:style w:type="paragraph" w:customStyle="1" w:styleId="AppendixCaption">
    <w:name w:val="Appendix Caption"/>
    <w:basedOn w:val="Normal"/>
    <w:next w:val="BodyText"/>
    <w:qFormat/>
    <w:rsid w:val="00E75F79"/>
    <w:pPr>
      <w:spacing w:before="120" w:after="120"/>
      <w:ind w:left="2880" w:hanging="2880"/>
    </w:pPr>
    <w:rPr>
      <w:caps/>
      <w:color w:val="425563"/>
      <w:spacing w:val="30"/>
      <w:sz w:val="32"/>
    </w:rPr>
  </w:style>
  <w:style w:type="paragraph" w:customStyle="1" w:styleId="TableHeading">
    <w:name w:val="Table Heading"/>
    <w:basedOn w:val="Normal"/>
    <w:next w:val="BodyText"/>
    <w:qFormat/>
    <w:rsid w:val="00DE2ADE"/>
    <w:pPr>
      <w:spacing w:before="40" w:after="40"/>
      <w:jc w:val="center"/>
    </w:pPr>
    <w:rPr>
      <w:b/>
      <w:color w:val="FFFFFF" w:themeColor="background1"/>
    </w:rPr>
  </w:style>
  <w:style w:type="paragraph" w:customStyle="1" w:styleId="TableText">
    <w:name w:val="Table Text"/>
    <w:basedOn w:val="Normal"/>
    <w:qFormat/>
    <w:rsid w:val="00DE2ADE"/>
    <w:pPr>
      <w:spacing w:before="40" w:after="40"/>
    </w:pPr>
    <w:rPr>
      <w:sz w:val="20"/>
    </w:rPr>
  </w:style>
  <w:style w:type="paragraph" w:customStyle="1" w:styleId="TableBullet">
    <w:name w:val="Table Bullet"/>
    <w:basedOn w:val="Normal"/>
    <w:qFormat/>
    <w:rsid w:val="00DE2ADE"/>
    <w:pPr>
      <w:numPr>
        <w:numId w:val="5"/>
      </w:numPr>
      <w:spacing w:before="40" w:after="40"/>
      <w:ind w:left="288" w:hanging="288"/>
    </w:pPr>
    <w:rPr>
      <w:sz w:val="20"/>
    </w:rPr>
  </w:style>
  <w:style w:type="character" w:customStyle="1" w:styleId="Heading1Char">
    <w:name w:val="Heading 1 Char"/>
    <w:basedOn w:val="DefaultParagraphFont"/>
    <w:link w:val="Heading1"/>
    <w:uiPriority w:val="9"/>
    <w:rsid w:val="0053186C"/>
    <w:rPr>
      <w:rFonts w:ascii="Gill Sans MT" w:eastAsiaTheme="majorEastAsia" w:hAnsi="Gill Sans MT" w:cstheme="majorBidi"/>
      <w:caps/>
      <w:color w:val="425563"/>
      <w:spacing w:val="30"/>
      <w:sz w:val="32"/>
      <w:szCs w:val="32"/>
    </w:rPr>
  </w:style>
  <w:style w:type="character" w:customStyle="1" w:styleId="Heading2Char">
    <w:name w:val="Heading 2 Char"/>
    <w:basedOn w:val="DefaultParagraphFont"/>
    <w:link w:val="Heading2"/>
    <w:uiPriority w:val="9"/>
    <w:rsid w:val="0053186C"/>
    <w:rPr>
      <w:rFonts w:ascii="Gill Sans MT" w:eastAsiaTheme="majorEastAsia" w:hAnsi="Gill Sans MT" w:cstheme="majorBidi"/>
      <w:b/>
      <w:color w:val="005E5D"/>
      <w:spacing w:val="30"/>
      <w:sz w:val="24"/>
      <w:szCs w:val="26"/>
    </w:rPr>
  </w:style>
  <w:style w:type="character" w:customStyle="1" w:styleId="Heading3Char">
    <w:name w:val="Heading 3 Char"/>
    <w:basedOn w:val="DefaultParagraphFont"/>
    <w:link w:val="Heading3"/>
    <w:uiPriority w:val="9"/>
    <w:rsid w:val="009F66A5"/>
    <w:rPr>
      <w:rFonts w:ascii="Gill Sans MT" w:eastAsiaTheme="majorEastAsia" w:hAnsi="Gill Sans MT" w:cstheme="majorBidi"/>
      <w:b/>
      <w:i/>
      <w:color w:val="00677F" w:themeColor="accent3"/>
      <w:spacing w:val="30"/>
      <w:sz w:val="24"/>
      <w:szCs w:val="24"/>
    </w:rPr>
  </w:style>
  <w:style w:type="character" w:customStyle="1" w:styleId="Heading4Char">
    <w:name w:val="Heading 4 Char"/>
    <w:basedOn w:val="DefaultParagraphFont"/>
    <w:link w:val="Heading4"/>
    <w:uiPriority w:val="9"/>
    <w:rsid w:val="00F176C4"/>
    <w:rPr>
      <w:rFonts w:ascii="Gill Sans MT" w:eastAsiaTheme="majorEastAsia" w:hAnsi="Gill Sans MT" w:cstheme="majorBidi"/>
      <w:b/>
      <w:i/>
      <w:iCs/>
      <w:color w:val="B15533"/>
      <w:spacing w:val="30"/>
    </w:rPr>
  </w:style>
  <w:style w:type="character" w:customStyle="1" w:styleId="Heading5Char">
    <w:name w:val="Heading 5 Char"/>
    <w:basedOn w:val="DefaultParagraphFont"/>
    <w:link w:val="Heading5"/>
    <w:uiPriority w:val="9"/>
    <w:rsid w:val="00F36FDC"/>
    <w:rPr>
      <w:rFonts w:ascii="Gill Sans MT" w:eastAsiaTheme="majorEastAsia" w:hAnsi="Gill Sans MT" w:cstheme="majorBidi"/>
      <w:color w:val="313F4A" w:themeColor="accent1" w:themeShade="BF"/>
    </w:rPr>
  </w:style>
  <w:style w:type="character" w:customStyle="1" w:styleId="Heading6Char">
    <w:name w:val="Heading 6 Char"/>
    <w:basedOn w:val="DefaultParagraphFont"/>
    <w:link w:val="Heading6"/>
    <w:uiPriority w:val="9"/>
    <w:rsid w:val="00F36FDC"/>
    <w:rPr>
      <w:rFonts w:ascii="Gill Sans MT" w:eastAsiaTheme="majorEastAsia" w:hAnsi="Gill Sans MT" w:cstheme="majorBidi"/>
      <w:color w:val="202A31" w:themeColor="accent1" w:themeShade="7F"/>
    </w:rPr>
  </w:style>
  <w:style w:type="character" w:customStyle="1" w:styleId="Heading7Char">
    <w:name w:val="Heading 7 Char"/>
    <w:basedOn w:val="DefaultParagraphFont"/>
    <w:link w:val="Heading7"/>
    <w:uiPriority w:val="9"/>
    <w:rsid w:val="00E7197A"/>
    <w:rPr>
      <w:rFonts w:asciiTheme="majorHAnsi" w:eastAsiaTheme="majorEastAsia" w:hAnsiTheme="majorHAnsi" w:cstheme="majorBidi"/>
      <w:i/>
      <w:iCs/>
      <w:color w:val="202A31" w:themeColor="accent1" w:themeShade="7F"/>
    </w:rPr>
  </w:style>
  <w:style w:type="character" w:customStyle="1" w:styleId="Heading8Char">
    <w:name w:val="Heading 8 Char"/>
    <w:basedOn w:val="DefaultParagraphFont"/>
    <w:link w:val="Heading8"/>
    <w:uiPriority w:val="9"/>
    <w:rsid w:val="00E719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197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BodyText"/>
    <w:uiPriority w:val="35"/>
    <w:unhideWhenUsed/>
    <w:qFormat/>
    <w:rsid w:val="007E5CE2"/>
    <w:pPr>
      <w:spacing w:before="120" w:after="120"/>
      <w:ind w:left="1800" w:hanging="1800"/>
    </w:pPr>
    <w:rPr>
      <w:b/>
      <w:iCs/>
      <w:color w:val="425563"/>
      <w:spacing w:val="30"/>
      <w:sz w:val="24"/>
      <w:szCs w:val="18"/>
    </w:rPr>
  </w:style>
  <w:style w:type="paragraph" w:styleId="Footer">
    <w:name w:val="footer"/>
    <w:basedOn w:val="Normal"/>
    <w:link w:val="FooterChar"/>
    <w:uiPriority w:val="99"/>
    <w:unhideWhenUsed/>
    <w:rsid w:val="00F82D3F"/>
    <w:pPr>
      <w:tabs>
        <w:tab w:val="center" w:pos="4680"/>
        <w:tab w:val="right" w:pos="9360"/>
      </w:tabs>
    </w:pPr>
    <w:rPr>
      <w:spacing w:val="30"/>
      <w:sz w:val="20"/>
    </w:rPr>
  </w:style>
  <w:style w:type="character" w:customStyle="1" w:styleId="FooterChar">
    <w:name w:val="Footer Char"/>
    <w:basedOn w:val="DefaultParagraphFont"/>
    <w:link w:val="Footer"/>
    <w:uiPriority w:val="99"/>
    <w:rsid w:val="00F82D3F"/>
    <w:rPr>
      <w:rFonts w:ascii="Gill Sans MT" w:hAnsi="Gill Sans MT"/>
      <w:spacing w:val="30"/>
      <w:sz w:val="20"/>
    </w:rPr>
  </w:style>
  <w:style w:type="paragraph" w:styleId="Header">
    <w:name w:val="header"/>
    <w:basedOn w:val="Normal"/>
    <w:link w:val="HeaderChar"/>
    <w:uiPriority w:val="99"/>
    <w:unhideWhenUsed/>
    <w:rsid w:val="0043372E"/>
    <w:pPr>
      <w:tabs>
        <w:tab w:val="center" w:pos="4680"/>
        <w:tab w:val="right" w:pos="9360"/>
      </w:tabs>
    </w:pPr>
    <w:rPr>
      <w:spacing w:val="30"/>
    </w:rPr>
  </w:style>
  <w:style w:type="character" w:customStyle="1" w:styleId="HeaderChar">
    <w:name w:val="Header Char"/>
    <w:basedOn w:val="DefaultParagraphFont"/>
    <w:link w:val="Header"/>
    <w:uiPriority w:val="99"/>
    <w:rsid w:val="0043372E"/>
    <w:rPr>
      <w:rFonts w:ascii="Gill Sans MT" w:hAnsi="Gill Sans MT"/>
      <w:spacing w:val="30"/>
    </w:rPr>
  </w:style>
  <w:style w:type="paragraph" w:styleId="TableofFigures">
    <w:name w:val="table of figures"/>
    <w:basedOn w:val="Normal"/>
    <w:next w:val="Normal"/>
    <w:uiPriority w:val="99"/>
    <w:unhideWhenUsed/>
    <w:rsid w:val="00F82D3F"/>
    <w:pPr>
      <w:spacing w:after="100"/>
      <w:ind w:left="1440" w:hanging="1440"/>
    </w:pPr>
  </w:style>
  <w:style w:type="paragraph" w:customStyle="1" w:styleId="FigureCaptionTitle">
    <w:name w:val="Figure Caption Title"/>
    <w:basedOn w:val="Normal"/>
    <w:next w:val="BodyText"/>
    <w:qFormat/>
    <w:rsid w:val="00D73919"/>
    <w:pPr>
      <w:spacing w:before="120" w:after="120"/>
      <w:ind w:left="1800" w:hanging="1800"/>
    </w:pPr>
    <w:rPr>
      <w:b/>
      <w:color w:val="425563"/>
      <w:spacing w:val="30"/>
    </w:rPr>
  </w:style>
  <w:style w:type="paragraph" w:customStyle="1" w:styleId="TableCaptionTitle">
    <w:name w:val="Table Caption Title"/>
    <w:basedOn w:val="Normal"/>
    <w:next w:val="BodyText"/>
    <w:qFormat/>
    <w:rsid w:val="00FE05EB"/>
    <w:pPr>
      <w:keepNext/>
      <w:keepLines/>
      <w:spacing w:before="120" w:after="120"/>
      <w:ind w:left="1800" w:hanging="1800"/>
    </w:pPr>
    <w:rPr>
      <w:b/>
      <w:color w:val="425563"/>
      <w:spacing w:val="30"/>
    </w:rPr>
  </w:style>
  <w:style w:type="table" w:styleId="TableGrid">
    <w:name w:val="Table Grid"/>
    <w:basedOn w:val="TableNormal"/>
    <w:rsid w:val="00DE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75F79"/>
    <w:pPr>
      <w:tabs>
        <w:tab w:val="left" w:pos="440"/>
        <w:tab w:val="right" w:leader="dot" w:pos="9350"/>
      </w:tabs>
      <w:spacing w:after="100"/>
    </w:pPr>
    <w:rPr>
      <w:b/>
    </w:rPr>
  </w:style>
  <w:style w:type="paragraph" w:styleId="TOC2">
    <w:name w:val="toc 2"/>
    <w:basedOn w:val="Normal"/>
    <w:next w:val="Normal"/>
    <w:uiPriority w:val="39"/>
    <w:unhideWhenUsed/>
    <w:rsid w:val="002A5313"/>
    <w:pPr>
      <w:tabs>
        <w:tab w:val="left" w:pos="1080"/>
        <w:tab w:val="right" w:leader="dot" w:pos="9350"/>
      </w:tabs>
      <w:spacing w:after="100"/>
      <w:ind w:left="1080" w:hanging="648"/>
    </w:pPr>
  </w:style>
  <w:style w:type="paragraph" w:styleId="TOC3">
    <w:name w:val="toc 3"/>
    <w:basedOn w:val="Normal"/>
    <w:next w:val="Normal"/>
    <w:autoRedefine/>
    <w:uiPriority w:val="39"/>
    <w:unhideWhenUsed/>
    <w:rsid w:val="00E75F79"/>
    <w:pPr>
      <w:tabs>
        <w:tab w:val="left" w:pos="1440"/>
        <w:tab w:val="right" w:leader="dot" w:pos="9350"/>
      </w:tabs>
      <w:spacing w:after="100"/>
      <w:ind w:left="1890" w:hanging="738"/>
    </w:pPr>
  </w:style>
  <w:style w:type="character" w:styleId="Hyperlink">
    <w:name w:val="Hyperlink"/>
    <w:basedOn w:val="DefaultParagraphFont"/>
    <w:uiPriority w:val="99"/>
    <w:unhideWhenUsed/>
    <w:rsid w:val="00B25584"/>
    <w:rPr>
      <w:color w:val="0563C1" w:themeColor="hyperlink"/>
      <w:u w:val="single"/>
    </w:rPr>
  </w:style>
  <w:style w:type="paragraph" w:styleId="BalloonText">
    <w:name w:val="Balloon Text"/>
    <w:basedOn w:val="Normal"/>
    <w:link w:val="BalloonTextChar"/>
    <w:uiPriority w:val="99"/>
    <w:semiHidden/>
    <w:unhideWhenUsed/>
    <w:rsid w:val="00F1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C4"/>
    <w:rPr>
      <w:rFonts w:ascii="Segoe UI" w:hAnsi="Segoe UI" w:cs="Segoe UI"/>
      <w:sz w:val="18"/>
      <w:szCs w:val="18"/>
    </w:rPr>
  </w:style>
  <w:style w:type="paragraph" w:styleId="ListParagraph">
    <w:name w:val="List Paragraph"/>
    <w:basedOn w:val="Normal"/>
    <w:uiPriority w:val="34"/>
    <w:qFormat/>
    <w:rsid w:val="00EF5379"/>
    <w:pPr>
      <w:ind w:left="720"/>
      <w:contextualSpacing/>
    </w:pPr>
  </w:style>
  <w:style w:type="character" w:styleId="CommentReference">
    <w:name w:val="annotation reference"/>
    <w:basedOn w:val="DefaultParagraphFont"/>
    <w:uiPriority w:val="99"/>
    <w:semiHidden/>
    <w:unhideWhenUsed/>
    <w:rsid w:val="002A52BD"/>
    <w:rPr>
      <w:sz w:val="16"/>
      <w:szCs w:val="16"/>
    </w:rPr>
  </w:style>
  <w:style w:type="paragraph" w:styleId="CommentText">
    <w:name w:val="annotation text"/>
    <w:basedOn w:val="Normal"/>
    <w:link w:val="CommentTextChar"/>
    <w:uiPriority w:val="99"/>
    <w:semiHidden/>
    <w:unhideWhenUsed/>
    <w:rsid w:val="002A52BD"/>
    <w:rPr>
      <w:sz w:val="20"/>
      <w:szCs w:val="20"/>
    </w:rPr>
  </w:style>
  <w:style w:type="character" w:customStyle="1" w:styleId="CommentTextChar">
    <w:name w:val="Comment Text Char"/>
    <w:basedOn w:val="DefaultParagraphFont"/>
    <w:link w:val="CommentText"/>
    <w:uiPriority w:val="99"/>
    <w:semiHidden/>
    <w:rsid w:val="002A52BD"/>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A52BD"/>
    <w:rPr>
      <w:b/>
      <w:bCs/>
    </w:rPr>
  </w:style>
  <w:style w:type="character" w:customStyle="1" w:styleId="CommentSubjectChar">
    <w:name w:val="Comment Subject Char"/>
    <w:basedOn w:val="CommentTextChar"/>
    <w:link w:val="CommentSubject"/>
    <w:uiPriority w:val="99"/>
    <w:semiHidden/>
    <w:rsid w:val="002A52BD"/>
    <w:rPr>
      <w:rFonts w:ascii="Gill Sans MT" w:hAnsi="Gill Sans MT"/>
      <w:b/>
      <w:bCs/>
      <w:sz w:val="20"/>
      <w:szCs w:val="20"/>
    </w:rPr>
  </w:style>
  <w:style w:type="character" w:styleId="PlaceholderText">
    <w:name w:val="Placeholder Text"/>
    <w:basedOn w:val="DefaultParagraphFont"/>
    <w:uiPriority w:val="99"/>
    <w:semiHidden/>
    <w:rsid w:val="00F556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523981">
      <w:bodyDiv w:val="1"/>
      <w:marLeft w:val="0"/>
      <w:marRight w:val="0"/>
      <w:marTop w:val="0"/>
      <w:marBottom w:val="0"/>
      <w:divBdr>
        <w:top w:val="none" w:sz="0" w:space="0" w:color="auto"/>
        <w:left w:val="none" w:sz="0" w:space="0" w:color="auto"/>
        <w:bottom w:val="none" w:sz="0" w:space="0" w:color="auto"/>
        <w:right w:val="none" w:sz="0" w:space="0" w:color="auto"/>
      </w:divBdr>
    </w:div>
    <w:div w:id="1045063621">
      <w:bodyDiv w:val="1"/>
      <w:marLeft w:val="0"/>
      <w:marRight w:val="0"/>
      <w:marTop w:val="0"/>
      <w:marBottom w:val="0"/>
      <w:divBdr>
        <w:top w:val="none" w:sz="0" w:space="0" w:color="auto"/>
        <w:left w:val="none" w:sz="0" w:space="0" w:color="auto"/>
        <w:bottom w:val="none" w:sz="0" w:space="0" w:color="auto"/>
        <w:right w:val="none" w:sz="0" w:space="0" w:color="auto"/>
      </w:divBdr>
    </w:div>
    <w:div w:id="1075931603">
      <w:bodyDiv w:val="1"/>
      <w:marLeft w:val="0"/>
      <w:marRight w:val="0"/>
      <w:marTop w:val="0"/>
      <w:marBottom w:val="0"/>
      <w:divBdr>
        <w:top w:val="none" w:sz="0" w:space="0" w:color="auto"/>
        <w:left w:val="none" w:sz="0" w:space="0" w:color="auto"/>
        <w:bottom w:val="none" w:sz="0" w:space="0" w:color="auto"/>
        <w:right w:val="none" w:sz="0" w:space="0" w:color="auto"/>
      </w:divBdr>
    </w:div>
    <w:div w:id="11039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Print%20Templates\Letterhead\Lincoln\01_NEW%20LOGO%20Gill%20Sans%20MT\Generic%20Rept_Numbered_Gill%20Sans%20MT.dotx" TargetMode="External"/></Relationships>
</file>

<file path=word/theme/theme1.xml><?xml version="1.0" encoding="utf-8"?>
<a:theme xmlns:a="http://schemas.openxmlformats.org/drawingml/2006/main" name="Office Theme">
  <a:themeElements>
    <a:clrScheme name="FHU FAT Palette">
      <a:dk1>
        <a:sysClr val="windowText" lastClr="000000"/>
      </a:dk1>
      <a:lt1>
        <a:sysClr val="window" lastClr="FFFFFF"/>
      </a:lt1>
      <a:dk2>
        <a:srgbClr val="44546A"/>
      </a:dk2>
      <a:lt2>
        <a:srgbClr val="E7E6E6"/>
      </a:lt2>
      <a:accent1>
        <a:srgbClr val="425563"/>
      </a:accent1>
      <a:accent2>
        <a:srgbClr val="005E5D"/>
      </a:accent2>
      <a:accent3>
        <a:srgbClr val="00677F"/>
      </a:accent3>
      <a:accent4>
        <a:srgbClr val="7A9A01"/>
      </a:accent4>
      <a:accent5>
        <a:srgbClr val="B15533"/>
      </a:accent5>
      <a:accent6>
        <a:srgbClr val="D29F1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6A8A-CCC1-45BA-95AF-A7157ECA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Rept_Numbered_Gill Sans MT.dotx</Template>
  <TotalTime>429</TotalTime>
  <Pages>10</Pages>
  <Words>4450</Words>
  <Characters>24434</Characters>
  <Application>Microsoft Office Word</Application>
  <DocSecurity>0</DocSecurity>
  <Lines>568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Linda.Stuchlik</cp:lastModifiedBy>
  <cp:revision>20</cp:revision>
  <cp:lastPrinted>2020-03-27T20:53:00Z</cp:lastPrinted>
  <dcterms:created xsi:type="dcterms:W3CDTF">2020-03-27T18:08:00Z</dcterms:created>
  <dcterms:modified xsi:type="dcterms:W3CDTF">2020-07-30T19:13:00Z</dcterms:modified>
</cp:coreProperties>
</file>